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9A145" w14:textId="77777777" w:rsidR="00D11FAC" w:rsidRPr="00D11FAC" w:rsidRDefault="00D11FAC" w:rsidP="00D11FAC">
      <w:pPr>
        <w:jc w:val="center"/>
        <w:rPr>
          <w:rFonts w:ascii="Arial" w:hAnsi="Arial" w:cs="Arial"/>
          <w:b/>
          <w:bCs/>
          <w:sz w:val="28"/>
          <w:szCs w:val="28"/>
        </w:rPr>
      </w:pPr>
      <w:r w:rsidRPr="00D11FAC">
        <w:rPr>
          <w:rFonts w:ascii="Arial" w:hAnsi="Arial" w:cs="Arial"/>
          <w:b/>
          <w:bCs/>
          <w:sz w:val="28"/>
          <w:szCs w:val="28"/>
        </w:rPr>
        <w:t>IMPACTO DA COLECISTECTOMIA VIDEOLAPAROSCÓPICA NOS DESFECHOS PÓS-OPERATÓRIOS: REVISÃO INTEGRATIVA DA LITERATURA</w:t>
      </w:r>
    </w:p>
    <w:p w14:paraId="301ABAC0" w14:textId="77777777" w:rsidR="00D11FAC" w:rsidRPr="00D11FAC" w:rsidRDefault="00D11FAC" w:rsidP="00D11FAC">
      <w:pPr>
        <w:jc w:val="center"/>
        <w:rPr>
          <w:rFonts w:ascii="Arial" w:hAnsi="Arial" w:cs="Arial"/>
          <w:b/>
          <w:bCs/>
          <w:sz w:val="28"/>
          <w:szCs w:val="28"/>
        </w:rPr>
      </w:pPr>
      <w:r w:rsidRPr="00D11FAC">
        <w:rPr>
          <w:rFonts w:ascii="Arial" w:hAnsi="Arial" w:cs="Arial"/>
          <w:b/>
          <w:bCs/>
          <w:sz w:val="28"/>
          <w:szCs w:val="28"/>
        </w:rPr>
        <w:t>IMPACT OF LAPAROSCOPIC CHOLECYSTECTOMY ON POSTOPERATIVE OUTCOMES: AN INTEGRATIVE LITERATURE REVIEW</w:t>
      </w:r>
    </w:p>
    <w:p w14:paraId="7750D811" w14:textId="0D347289" w:rsidR="007E4B2F" w:rsidRPr="00D11FAC" w:rsidRDefault="007E4B2F" w:rsidP="00D11FAC">
      <w:pPr>
        <w:jc w:val="center"/>
        <w:rPr>
          <w:rFonts w:ascii="Arial" w:hAnsi="Arial" w:cs="Arial"/>
          <w:b/>
          <w:bCs/>
          <w:sz w:val="24"/>
          <w:szCs w:val="24"/>
        </w:rPr>
      </w:pPr>
      <w:r w:rsidRPr="00D11FAC">
        <w:rPr>
          <w:rFonts w:ascii="Arial" w:hAnsi="Arial" w:cs="Arial"/>
          <w:b/>
          <w:bCs/>
          <w:sz w:val="24"/>
          <w:szCs w:val="24"/>
        </w:rPr>
        <w:t>LIGA ACADÊMICA DE CIRURGIA GERAL</w:t>
      </w:r>
    </w:p>
    <w:p w14:paraId="405BDE5F" w14:textId="77777777" w:rsidR="007E4B2F" w:rsidRPr="00D11FAC" w:rsidRDefault="007E4B2F" w:rsidP="000025D0">
      <w:pPr>
        <w:tabs>
          <w:tab w:val="left" w:pos="3420"/>
        </w:tabs>
        <w:spacing w:line="240" w:lineRule="auto"/>
        <w:jc w:val="center"/>
        <w:rPr>
          <w:rFonts w:ascii="Arial" w:hAnsi="Arial" w:cs="Arial"/>
          <w:sz w:val="20"/>
          <w:szCs w:val="20"/>
        </w:rPr>
      </w:pPr>
    </w:p>
    <w:p w14:paraId="5BA75B41" w14:textId="737DE8E0" w:rsidR="000025D0" w:rsidRPr="00D11FAC" w:rsidRDefault="000025D0" w:rsidP="000025D0">
      <w:pPr>
        <w:tabs>
          <w:tab w:val="left" w:pos="3420"/>
        </w:tabs>
        <w:spacing w:line="240" w:lineRule="auto"/>
        <w:jc w:val="center"/>
        <w:rPr>
          <w:rFonts w:ascii="Arial" w:hAnsi="Arial" w:cs="Arial"/>
          <w:sz w:val="20"/>
          <w:szCs w:val="20"/>
        </w:rPr>
      </w:pPr>
      <w:r w:rsidRPr="00D11FAC">
        <w:rPr>
          <w:rFonts w:ascii="Arial" w:hAnsi="Arial" w:cs="Arial"/>
          <w:sz w:val="20"/>
          <w:szCs w:val="20"/>
        </w:rPr>
        <w:t>Priscila Marino Pereira</w:t>
      </w:r>
      <w:r w:rsidRPr="00D11FAC">
        <w:rPr>
          <w:rFonts w:ascii="Arial" w:hAnsi="Arial" w:cs="Arial"/>
          <w:sz w:val="20"/>
          <w:szCs w:val="20"/>
          <w:vertAlign w:val="superscript"/>
        </w:rPr>
        <w:t>¹</w:t>
      </w:r>
      <w:r w:rsidRPr="00D11FAC">
        <w:rPr>
          <w:rFonts w:ascii="Arial" w:hAnsi="Arial" w:cs="Arial"/>
          <w:sz w:val="20"/>
          <w:szCs w:val="20"/>
        </w:rPr>
        <w:t xml:space="preserve">; </w:t>
      </w:r>
      <w:r w:rsidR="00F6766F" w:rsidRPr="00D11FAC">
        <w:rPr>
          <w:rFonts w:ascii="Arial" w:hAnsi="Arial" w:cs="Arial"/>
          <w:sz w:val="20"/>
          <w:szCs w:val="20"/>
        </w:rPr>
        <w:t xml:space="preserve">Marina </w:t>
      </w:r>
      <w:r w:rsidR="001D561E" w:rsidRPr="00D11FAC">
        <w:rPr>
          <w:rFonts w:ascii="Arial" w:hAnsi="Arial" w:cs="Arial"/>
          <w:sz w:val="20"/>
          <w:szCs w:val="20"/>
        </w:rPr>
        <w:t xml:space="preserve">de Araújo </w:t>
      </w:r>
      <w:r w:rsidR="00F6766F" w:rsidRPr="00D11FAC">
        <w:rPr>
          <w:rFonts w:ascii="Arial" w:hAnsi="Arial" w:cs="Arial"/>
          <w:sz w:val="20"/>
          <w:szCs w:val="20"/>
        </w:rPr>
        <w:t>Francelino²</w:t>
      </w:r>
      <w:r w:rsidR="001D561E" w:rsidRPr="00D11FAC">
        <w:rPr>
          <w:rFonts w:ascii="Arial" w:hAnsi="Arial" w:cs="Arial"/>
          <w:sz w:val="20"/>
          <w:szCs w:val="20"/>
        </w:rPr>
        <w:t xml:space="preserve">; </w:t>
      </w:r>
      <w:proofErr w:type="spellStart"/>
      <w:r w:rsidR="001D561E" w:rsidRPr="00D11FAC">
        <w:rPr>
          <w:rFonts w:ascii="Arial" w:hAnsi="Arial" w:cs="Arial"/>
          <w:sz w:val="20"/>
          <w:szCs w:val="20"/>
        </w:rPr>
        <w:t>Javert</w:t>
      </w:r>
      <w:proofErr w:type="spellEnd"/>
      <w:r w:rsidR="001D561E" w:rsidRPr="00D11FAC">
        <w:rPr>
          <w:rFonts w:ascii="Arial" w:hAnsi="Arial" w:cs="Arial"/>
          <w:sz w:val="20"/>
          <w:szCs w:val="20"/>
        </w:rPr>
        <w:t xml:space="preserve"> do Carmo Azevedo Filho³</w:t>
      </w:r>
    </w:p>
    <w:p w14:paraId="5AF7E8ED" w14:textId="77777777" w:rsidR="000025D0" w:rsidRPr="00D11FAC" w:rsidRDefault="000025D0" w:rsidP="000025D0">
      <w:pPr>
        <w:spacing w:line="360" w:lineRule="auto"/>
        <w:jc w:val="center"/>
        <w:rPr>
          <w:rFonts w:ascii="Arial" w:hAnsi="Arial" w:cs="Arial"/>
          <w:b/>
          <w:bCs/>
          <w:sz w:val="28"/>
          <w:szCs w:val="28"/>
        </w:rPr>
      </w:pPr>
    </w:p>
    <w:p w14:paraId="6259DF07" w14:textId="0050AC68" w:rsidR="001D561E" w:rsidRDefault="001D561E" w:rsidP="007E4B2F">
      <w:pPr>
        <w:pStyle w:val="PargrafodaLista"/>
        <w:numPr>
          <w:ilvl w:val="0"/>
          <w:numId w:val="1"/>
        </w:numPr>
        <w:spacing w:line="360" w:lineRule="auto"/>
        <w:jc w:val="center"/>
        <w:rPr>
          <w:rFonts w:ascii="Arial" w:hAnsi="Arial" w:cs="Arial"/>
          <w:sz w:val="20"/>
          <w:szCs w:val="20"/>
          <w:lang w:val="en-US"/>
        </w:rPr>
      </w:pPr>
      <w:r w:rsidRPr="00D11FAC">
        <w:rPr>
          <w:rFonts w:ascii="Arial" w:hAnsi="Arial" w:cs="Arial"/>
          <w:sz w:val="20"/>
          <w:szCs w:val="20"/>
        </w:rPr>
        <w:t>Discente do 9º período do curso de graduação de medicina da Universidade Iguaçu. Ligante da Liga Acadêmica de Cirurgia Geral (LACG) da Universidade Iguaçu (UNIG</w:t>
      </w:r>
      <w:r w:rsidRPr="001D561E">
        <w:rPr>
          <w:rFonts w:ascii="Arial" w:hAnsi="Arial" w:cs="Arial"/>
          <w:sz w:val="20"/>
          <w:szCs w:val="20"/>
        </w:rPr>
        <w:t xml:space="preserve">). </w:t>
      </w:r>
      <w:r w:rsidRPr="001D561E">
        <w:rPr>
          <w:rFonts w:ascii="Arial" w:hAnsi="Arial" w:cs="Arial"/>
          <w:sz w:val="20"/>
          <w:szCs w:val="20"/>
          <w:lang w:val="en-US"/>
        </w:rPr>
        <w:t>E-mail: primarino</w:t>
      </w:r>
      <w:r w:rsidR="00504D28">
        <w:rPr>
          <w:rFonts w:ascii="Arial" w:hAnsi="Arial" w:cs="Arial"/>
          <w:sz w:val="20"/>
          <w:szCs w:val="20"/>
          <w:lang w:val="en-US"/>
        </w:rPr>
        <w:t>@hotmail</w:t>
      </w:r>
      <w:r w:rsidRPr="001D561E">
        <w:rPr>
          <w:rFonts w:ascii="Arial" w:hAnsi="Arial" w:cs="Arial"/>
          <w:sz w:val="20"/>
          <w:szCs w:val="20"/>
          <w:lang w:val="en-US"/>
        </w:rPr>
        <w:t xml:space="preserve">.com. LATTES: http://lattes.cnpq.br/5392406962054304 ORCID: </w:t>
      </w:r>
      <w:hyperlink r:id="rId5" w:history="1">
        <w:r w:rsidRPr="00A92899">
          <w:rPr>
            <w:rStyle w:val="Hyperlink"/>
            <w:rFonts w:ascii="Arial" w:hAnsi="Arial" w:cs="Arial"/>
            <w:sz w:val="20"/>
            <w:szCs w:val="20"/>
            <w:lang w:val="en-US"/>
          </w:rPr>
          <w:t>https://orcid.org/0009 0000-5270-573</w:t>
        </w:r>
      </w:hyperlink>
      <w:r w:rsidRPr="001D561E">
        <w:rPr>
          <w:rFonts w:ascii="Arial" w:hAnsi="Arial" w:cs="Arial"/>
          <w:sz w:val="20"/>
          <w:szCs w:val="20"/>
          <w:lang w:val="en-US"/>
        </w:rPr>
        <w:t>.</w:t>
      </w:r>
    </w:p>
    <w:p w14:paraId="34EC9C8F" w14:textId="43C54415" w:rsidR="001D561E" w:rsidRDefault="001D561E" w:rsidP="007E4B2F">
      <w:pPr>
        <w:pStyle w:val="PargrafodaLista"/>
        <w:numPr>
          <w:ilvl w:val="0"/>
          <w:numId w:val="1"/>
        </w:numPr>
        <w:spacing w:line="360" w:lineRule="auto"/>
        <w:jc w:val="center"/>
        <w:rPr>
          <w:rFonts w:ascii="Arial" w:hAnsi="Arial" w:cs="Arial"/>
          <w:sz w:val="20"/>
          <w:szCs w:val="20"/>
        </w:rPr>
      </w:pPr>
      <w:r w:rsidRPr="001D561E">
        <w:rPr>
          <w:rFonts w:ascii="Arial" w:hAnsi="Arial" w:cs="Arial"/>
          <w:sz w:val="20"/>
          <w:szCs w:val="20"/>
        </w:rPr>
        <w:t>Discente do 9º período do curso de graduação de medicina da Universidade Iguaçu</w:t>
      </w:r>
      <w:r>
        <w:rPr>
          <w:rFonts w:ascii="Arial" w:hAnsi="Arial" w:cs="Arial"/>
          <w:sz w:val="20"/>
          <w:szCs w:val="20"/>
        </w:rPr>
        <w:t>.</w:t>
      </w:r>
      <w:r w:rsidR="009F740A">
        <w:rPr>
          <w:rFonts w:ascii="Arial" w:hAnsi="Arial" w:cs="Arial"/>
          <w:sz w:val="20"/>
          <w:szCs w:val="20"/>
        </w:rPr>
        <w:t xml:space="preserve"> E-mail:</w:t>
      </w:r>
      <w:r w:rsidR="00504D28">
        <w:rPr>
          <w:rFonts w:ascii="Arial" w:hAnsi="Arial" w:cs="Arial"/>
          <w:sz w:val="20"/>
          <w:szCs w:val="20"/>
        </w:rPr>
        <w:t>marifrancelino15@gmail.com.</w:t>
      </w:r>
    </w:p>
    <w:p w14:paraId="5240B9D2" w14:textId="55FDAFEF" w:rsidR="001D561E" w:rsidRPr="007E4B2F" w:rsidRDefault="007E4B2F" w:rsidP="007E4B2F">
      <w:pPr>
        <w:pStyle w:val="PargrafodaLista"/>
        <w:numPr>
          <w:ilvl w:val="0"/>
          <w:numId w:val="1"/>
        </w:numPr>
        <w:spacing w:line="360" w:lineRule="auto"/>
        <w:jc w:val="center"/>
        <w:rPr>
          <w:rFonts w:ascii="Arial" w:hAnsi="Arial" w:cs="Arial"/>
          <w:sz w:val="20"/>
          <w:szCs w:val="20"/>
        </w:rPr>
      </w:pPr>
      <w:r w:rsidRPr="007E4B2F">
        <w:rPr>
          <w:rFonts w:ascii="Arial" w:eastAsia="Times New Roman" w:hAnsi="Arial" w:cs="Arial"/>
          <w:color w:val="000000"/>
          <w:kern w:val="0"/>
          <w:sz w:val="20"/>
          <w:szCs w:val="20"/>
          <w:lang w:eastAsia="pt-BR"/>
          <w14:ligatures w14:val="none"/>
        </w:rPr>
        <w:t>Cirurgião Geral</w:t>
      </w:r>
      <w:r w:rsidR="001D561E" w:rsidRPr="001D561E">
        <w:rPr>
          <w:rFonts w:ascii="Arial" w:hAnsi="Arial" w:cs="Arial"/>
          <w:sz w:val="20"/>
          <w:szCs w:val="20"/>
        </w:rPr>
        <w:t xml:space="preserve">. Docente do curso de graduação de medicina da Universidade Iguaçu (UNIG). </w:t>
      </w:r>
      <w:r w:rsidRPr="007E4B2F">
        <w:rPr>
          <w:rFonts w:ascii="Arial" w:eastAsia="Times New Roman" w:hAnsi="Arial" w:cs="Arial"/>
          <w:color w:val="000000"/>
          <w:kern w:val="0"/>
          <w:sz w:val="20"/>
          <w:szCs w:val="20"/>
          <w:lang w:eastAsia="pt-BR"/>
          <w14:ligatures w14:val="none"/>
        </w:rPr>
        <w:t>Membro Titular do Colégio Brasileiro de Cirurgiões</w:t>
      </w:r>
      <w:r w:rsidRPr="001D561E">
        <w:rPr>
          <w:rFonts w:ascii="Arial" w:hAnsi="Arial" w:cs="Arial"/>
          <w:sz w:val="20"/>
          <w:szCs w:val="20"/>
        </w:rPr>
        <w:t>. Coordenador</w:t>
      </w:r>
      <w:r w:rsidR="001D561E" w:rsidRPr="001D561E">
        <w:rPr>
          <w:rFonts w:ascii="Arial" w:hAnsi="Arial" w:cs="Arial"/>
          <w:sz w:val="20"/>
          <w:szCs w:val="20"/>
        </w:rPr>
        <w:t xml:space="preserve"> e Orientador da Liga </w:t>
      </w:r>
      <w:r w:rsidR="001D561E">
        <w:rPr>
          <w:rFonts w:ascii="Arial" w:hAnsi="Arial" w:cs="Arial"/>
          <w:sz w:val="20"/>
          <w:szCs w:val="20"/>
        </w:rPr>
        <w:t>Acadêmica de</w:t>
      </w:r>
      <w:r w:rsidR="001D561E" w:rsidRPr="001D561E">
        <w:rPr>
          <w:rFonts w:ascii="Arial" w:hAnsi="Arial" w:cs="Arial"/>
          <w:sz w:val="20"/>
          <w:szCs w:val="20"/>
        </w:rPr>
        <w:t xml:space="preserve"> Cirurgia Geral (LACG) da Universidade Iguaçu (UNIG)</w:t>
      </w:r>
      <w:r w:rsidRPr="007E4B2F">
        <w:rPr>
          <w:rFonts w:ascii="Arial" w:eastAsia="Times New Roman" w:hAnsi="Arial" w:cs="Arial"/>
          <w:color w:val="000000"/>
          <w:kern w:val="0"/>
          <w:sz w:val="20"/>
          <w:szCs w:val="20"/>
          <w:lang w:eastAsia="pt-BR"/>
          <w14:ligatures w14:val="none"/>
        </w:rPr>
        <w:t>;</w:t>
      </w:r>
    </w:p>
    <w:p w14:paraId="42A01B5B" w14:textId="77777777" w:rsidR="007E4B2F" w:rsidRDefault="007E4B2F" w:rsidP="007E4B2F">
      <w:pPr>
        <w:pStyle w:val="PargrafodaLista"/>
        <w:spacing w:line="360" w:lineRule="auto"/>
        <w:jc w:val="both"/>
        <w:rPr>
          <w:rFonts w:ascii="Arial" w:eastAsia="Times New Roman" w:hAnsi="Arial" w:cs="Arial"/>
          <w:color w:val="000000"/>
          <w:kern w:val="0"/>
          <w:sz w:val="20"/>
          <w:szCs w:val="20"/>
          <w:lang w:eastAsia="pt-BR"/>
          <w14:ligatures w14:val="none"/>
        </w:rPr>
      </w:pPr>
    </w:p>
    <w:p w14:paraId="0CA393AB" w14:textId="6EC63BBD" w:rsidR="007E4B2F" w:rsidRPr="007E4B2F" w:rsidRDefault="007E4B2F" w:rsidP="007E4B2F">
      <w:pPr>
        <w:pStyle w:val="PargrafodaLista"/>
        <w:spacing w:line="360" w:lineRule="auto"/>
        <w:jc w:val="center"/>
        <w:rPr>
          <w:rFonts w:ascii="Arial" w:hAnsi="Arial" w:cs="Arial"/>
          <w:i/>
          <w:iCs/>
          <w:sz w:val="20"/>
          <w:szCs w:val="20"/>
        </w:rPr>
      </w:pPr>
      <w:r w:rsidRPr="007E4B2F">
        <w:rPr>
          <w:rFonts w:ascii="Arial" w:hAnsi="Arial" w:cs="Arial"/>
          <w:i/>
          <w:iCs/>
          <w:sz w:val="20"/>
          <w:szCs w:val="20"/>
        </w:rPr>
        <w:t>Autor correspondente: Priscila Marino Pereira, Rua Francisco de Arruda Câmara, 156, Jardim Iguaçu – Nova Iguaçu, CEP 26282-070, (</w:t>
      </w:r>
      <w:hyperlink r:id="rId6" w:history="1">
        <w:r w:rsidR="00A15E97" w:rsidRPr="00A92899">
          <w:rPr>
            <w:rStyle w:val="Hyperlink"/>
            <w:rFonts w:ascii="Arial" w:hAnsi="Arial" w:cs="Arial"/>
            <w:i/>
            <w:iCs/>
            <w:sz w:val="20"/>
            <w:szCs w:val="20"/>
          </w:rPr>
          <w:t>primarino@hotmail.com</w:t>
        </w:r>
      </w:hyperlink>
      <w:r w:rsidRPr="007E4B2F">
        <w:rPr>
          <w:rFonts w:ascii="Arial" w:hAnsi="Arial" w:cs="Arial"/>
          <w:i/>
          <w:iCs/>
          <w:sz w:val="20"/>
          <w:szCs w:val="20"/>
        </w:rPr>
        <w:t>)</w:t>
      </w:r>
    </w:p>
    <w:p w14:paraId="3C8351EB" w14:textId="77777777" w:rsidR="007E4B2F" w:rsidRPr="007E4B2F" w:rsidRDefault="007E4B2F" w:rsidP="007E4B2F">
      <w:pPr>
        <w:pStyle w:val="PargrafodaLista"/>
        <w:spacing w:line="360" w:lineRule="auto"/>
        <w:jc w:val="center"/>
        <w:rPr>
          <w:rFonts w:ascii="Arial" w:hAnsi="Arial" w:cs="Arial"/>
          <w:i/>
          <w:iCs/>
          <w:sz w:val="20"/>
          <w:szCs w:val="20"/>
        </w:rPr>
      </w:pPr>
    </w:p>
    <w:p w14:paraId="1C246272" w14:textId="23D234CF" w:rsidR="000025D0" w:rsidRPr="00F93EDB" w:rsidRDefault="000025D0" w:rsidP="000025D0">
      <w:pPr>
        <w:spacing w:line="360" w:lineRule="auto"/>
        <w:jc w:val="both"/>
        <w:rPr>
          <w:rFonts w:ascii="Arial" w:hAnsi="Arial" w:cs="Arial"/>
          <w:sz w:val="24"/>
          <w:szCs w:val="24"/>
        </w:rPr>
      </w:pPr>
      <w:r w:rsidRPr="00F93EDB">
        <w:rPr>
          <w:rFonts w:ascii="Arial" w:hAnsi="Arial" w:cs="Arial"/>
          <w:sz w:val="24"/>
          <w:szCs w:val="24"/>
        </w:rPr>
        <w:t>Resumo</w:t>
      </w:r>
    </w:p>
    <w:p w14:paraId="3AE1770C" w14:textId="495F1715" w:rsidR="000025D0" w:rsidRPr="00F93EDB" w:rsidRDefault="000025D0" w:rsidP="007E4B2F">
      <w:pPr>
        <w:spacing w:line="360" w:lineRule="auto"/>
        <w:ind w:firstLine="708"/>
        <w:jc w:val="both"/>
        <w:rPr>
          <w:rFonts w:ascii="Arial" w:hAnsi="Arial" w:cs="Arial"/>
          <w:sz w:val="24"/>
          <w:szCs w:val="24"/>
        </w:rPr>
      </w:pPr>
      <w:r w:rsidRPr="00F93EDB">
        <w:rPr>
          <w:rFonts w:ascii="Arial" w:hAnsi="Arial" w:cs="Arial"/>
          <w:sz w:val="24"/>
          <w:szCs w:val="24"/>
        </w:rPr>
        <w:t xml:space="preserve">A colecistectomia videolaparoscópica consolidou-se como padrão-ouro no tratamento da colelitíase sintomática. Evidências científicas demonstram superioridade da técnica minimamente invasiva em relação à cirurgia aberta quanto à morbidade, tempo de internação e recuperação funcional. Esta revisão </w:t>
      </w:r>
      <w:r w:rsidR="00916E65" w:rsidRPr="00F93EDB">
        <w:rPr>
          <w:rFonts w:ascii="Arial" w:hAnsi="Arial" w:cs="Arial"/>
          <w:sz w:val="24"/>
          <w:szCs w:val="24"/>
        </w:rPr>
        <w:t xml:space="preserve">trata-se de uma pesquisa bibliográfica de abordagem </w:t>
      </w:r>
      <w:r w:rsidRPr="00F93EDB">
        <w:rPr>
          <w:rFonts w:ascii="Arial" w:hAnsi="Arial" w:cs="Arial"/>
          <w:sz w:val="24"/>
          <w:szCs w:val="24"/>
        </w:rPr>
        <w:t>integrativa</w:t>
      </w:r>
      <w:r w:rsidR="00916E65" w:rsidRPr="00F93EDB">
        <w:rPr>
          <w:rFonts w:ascii="Arial" w:hAnsi="Arial" w:cs="Arial"/>
          <w:sz w:val="24"/>
          <w:szCs w:val="24"/>
        </w:rPr>
        <w:t>,</w:t>
      </w:r>
      <w:r w:rsidRPr="00F93EDB">
        <w:rPr>
          <w:rFonts w:ascii="Arial" w:hAnsi="Arial" w:cs="Arial"/>
          <w:sz w:val="24"/>
          <w:szCs w:val="24"/>
        </w:rPr>
        <w:t xml:space="preserve"> analisa criticamente estudos indexados nas bases</w:t>
      </w:r>
      <w:r w:rsidR="00916E65" w:rsidRPr="00F93EDB">
        <w:rPr>
          <w:rFonts w:ascii="Arial" w:hAnsi="Arial" w:cs="Arial"/>
          <w:sz w:val="24"/>
          <w:szCs w:val="24"/>
        </w:rPr>
        <w:t xml:space="preserve"> de informações</w:t>
      </w:r>
      <w:r w:rsidRPr="00F93EDB">
        <w:rPr>
          <w:rFonts w:ascii="Arial" w:hAnsi="Arial" w:cs="Arial"/>
          <w:sz w:val="24"/>
          <w:szCs w:val="24"/>
        </w:rPr>
        <w:t xml:space="preserve"> LILACS, MEDLINE e PubMed, publicados entre 20</w:t>
      </w:r>
      <w:r w:rsidR="00C10F87">
        <w:rPr>
          <w:rFonts w:ascii="Arial" w:hAnsi="Arial" w:cs="Arial"/>
          <w:sz w:val="24"/>
          <w:szCs w:val="24"/>
        </w:rPr>
        <w:t>0</w:t>
      </w:r>
      <w:r w:rsidRPr="00F93EDB">
        <w:rPr>
          <w:rFonts w:ascii="Arial" w:hAnsi="Arial" w:cs="Arial"/>
          <w:sz w:val="24"/>
          <w:szCs w:val="24"/>
        </w:rPr>
        <w:t xml:space="preserve">0 e 2024. </w:t>
      </w:r>
      <w:r w:rsidR="00916E65" w:rsidRPr="00F93EDB">
        <w:rPr>
          <w:rFonts w:ascii="Arial" w:hAnsi="Arial" w:cs="Arial"/>
          <w:sz w:val="24"/>
          <w:szCs w:val="24"/>
        </w:rPr>
        <w:t xml:space="preserve">A análise dos descritores nessas bases resultou inicialmente em 312 artigos. Após remoção de duplicatas (n=48), permaneceram 264 estudos para análise de títulos e resumos. Destes, 198 foram excluídos por não atenderem aos critérios de inclusão. Sessenta e seis artigos foram avaliados na íntegra, sendo 51 excluídos por não apresentarem </w:t>
      </w:r>
      <w:r w:rsidR="00916E65" w:rsidRPr="00F93EDB">
        <w:rPr>
          <w:rFonts w:ascii="Arial" w:hAnsi="Arial" w:cs="Arial"/>
          <w:sz w:val="24"/>
          <w:szCs w:val="24"/>
        </w:rPr>
        <w:lastRenderedPageBreak/>
        <w:t xml:space="preserve">comparação direta entre as técnicas ou por metodologia inadequada. Ao final, 15 estudos compuseram a revisão. Resultados e Discussão: </w:t>
      </w:r>
      <w:r w:rsidR="00F93EDB" w:rsidRPr="00F93EDB">
        <w:rPr>
          <w:rFonts w:ascii="Arial" w:hAnsi="Arial" w:cs="Arial"/>
          <w:sz w:val="24"/>
          <w:szCs w:val="24"/>
        </w:rPr>
        <w:t>A aplicação da metodologia de análise de conteúdo das literaturas aponta</w:t>
      </w:r>
      <w:r w:rsidRPr="00F93EDB">
        <w:rPr>
          <w:rFonts w:ascii="Arial" w:hAnsi="Arial" w:cs="Arial"/>
          <w:sz w:val="24"/>
          <w:szCs w:val="24"/>
        </w:rPr>
        <w:t xml:space="preserve"> redução significativa de complicações infecciosas, menor dor pós-operatória e retorno mais precoce às atividades na abordagem laparoscópica </w:t>
      </w:r>
      <w:r w:rsidRPr="001B70AF">
        <w:rPr>
          <w:rFonts w:ascii="Arial" w:hAnsi="Arial" w:cs="Arial"/>
          <w:sz w:val="24"/>
          <w:szCs w:val="24"/>
        </w:rPr>
        <w:t>(</w:t>
      </w:r>
      <w:r w:rsidR="001B70AF" w:rsidRPr="001B70AF">
        <w:rPr>
          <w:rFonts w:ascii="Arial" w:hAnsi="Arial" w:cs="Arial"/>
          <w:sz w:val="24"/>
          <w:szCs w:val="24"/>
        </w:rPr>
        <w:t>4,6</w:t>
      </w:r>
      <w:r w:rsidRPr="001B70AF">
        <w:rPr>
          <w:rFonts w:ascii="Arial" w:hAnsi="Arial" w:cs="Arial"/>
          <w:sz w:val="24"/>
          <w:szCs w:val="24"/>
        </w:rPr>
        <w:t>,</w:t>
      </w:r>
      <w:r w:rsidR="001B70AF" w:rsidRPr="001B70AF">
        <w:rPr>
          <w:rFonts w:ascii="Arial" w:hAnsi="Arial" w:cs="Arial"/>
          <w:sz w:val="24"/>
          <w:szCs w:val="24"/>
        </w:rPr>
        <w:t>11</w:t>
      </w:r>
      <w:r w:rsidRPr="001B70AF">
        <w:rPr>
          <w:rFonts w:ascii="Arial" w:hAnsi="Arial" w:cs="Arial"/>
          <w:sz w:val="24"/>
          <w:szCs w:val="24"/>
        </w:rPr>
        <w:t xml:space="preserve">). </w:t>
      </w:r>
      <w:r w:rsidRPr="00F93EDB">
        <w:rPr>
          <w:rFonts w:ascii="Arial" w:hAnsi="Arial" w:cs="Arial"/>
          <w:sz w:val="24"/>
          <w:szCs w:val="24"/>
        </w:rPr>
        <w:t xml:space="preserve">As taxas de lesão de via biliar são semelhantes entre as técnicas quando observados critérios técnicos adequados </w:t>
      </w:r>
      <w:r w:rsidRPr="001B70AF">
        <w:rPr>
          <w:rFonts w:ascii="Arial" w:hAnsi="Arial" w:cs="Arial"/>
          <w:sz w:val="24"/>
          <w:szCs w:val="24"/>
        </w:rPr>
        <w:t>(</w:t>
      </w:r>
      <w:r w:rsidR="001B70AF" w:rsidRPr="001B70AF">
        <w:rPr>
          <w:rFonts w:ascii="Arial" w:hAnsi="Arial" w:cs="Arial"/>
          <w:sz w:val="24"/>
          <w:szCs w:val="24"/>
        </w:rPr>
        <w:t>8</w:t>
      </w:r>
      <w:r w:rsidRPr="001B70AF">
        <w:rPr>
          <w:rFonts w:ascii="Arial" w:hAnsi="Arial" w:cs="Arial"/>
          <w:sz w:val="24"/>
          <w:szCs w:val="24"/>
        </w:rPr>
        <w:t>,</w:t>
      </w:r>
      <w:r w:rsidR="001B70AF" w:rsidRPr="001B70AF">
        <w:rPr>
          <w:rFonts w:ascii="Arial" w:hAnsi="Arial" w:cs="Arial"/>
          <w:sz w:val="24"/>
          <w:szCs w:val="24"/>
        </w:rPr>
        <w:t>7,14</w:t>
      </w:r>
      <w:r w:rsidRPr="001B70AF">
        <w:rPr>
          <w:rFonts w:ascii="Arial" w:hAnsi="Arial" w:cs="Arial"/>
          <w:sz w:val="24"/>
          <w:szCs w:val="24"/>
        </w:rPr>
        <w:t xml:space="preserve">). </w:t>
      </w:r>
      <w:r w:rsidRPr="00F93EDB">
        <w:rPr>
          <w:rFonts w:ascii="Arial" w:hAnsi="Arial" w:cs="Arial"/>
          <w:sz w:val="24"/>
          <w:szCs w:val="24"/>
        </w:rPr>
        <w:t>Conclui-se que a videolaparoscopia permanece como abordagem preferencial, com melhor perfil de desfechos clínicos e recuperação mais rápida.</w:t>
      </w:r>
    </w:p>
    <w:p w14:paraId="14C0B81A" w14:textId="40638141" w:rsidR="00F93EDB" w:rsidRPr="00F93EDB" w:rsidRDefault="000025D0" w:rsidP="000025D0">
      <w:pPr>
        <w:spacing w:line="360" w:lineRule="auto"/>
        <w:jc w:val="both"/>
        <w:rPr>
          <w:rFonts w:ascii="Arial" w:hAnsi="Arial" w:cs="Arial"/>
          <w:sz w:val="24"/>
          <w:szCs w:val="24"/>
        </w:rPr>
      </w:pPr>
      <w:r w:rsidRPr="00D11FAC">
        <w:rPr>
          <w:rFonts w:ascii="Arial" w:hAnsi="Arial" w:cs="Arial"/>
          <w:sz w:val="24"/>
          <w:szCs w:val="24"/>
        </w:rPr>
        <w:t>Descritores</w:t>
      </w:r>
      <w:r w:rsidRPr="00F93EDB">
        <w:rPr>
          <w:rFonts w:ascii="Arial" w:hAnsi="Arial" w:cs="Arial"/>
          <w:sz w:val="24"/>
          <w:szCs w:val="24"/>
        </w:rPr>
        <w:t>: Colecistectomia; Laparoscopia; Cirurgia Geral; Desfechos Pós-operatórios; Morbidade.</w:t>
      </w:r>
    </w:p>
    <w:p w14:paraId="545DD8F4" w14:textId="77777777" w:rsidR="00D11FAC" w:rsidRDefault="00D11FAC" w:rsidP="000025D0">
      <w:pPr>
        <w:spacing w:line="360" w:lineRule="auto"/>
        <w:jc w:val="both"/>
        <w:rPr>
          <w:rFonts w:ascii="Arial" w:hAnsi="Arial" w:cs="Arial"/>
          <w:sz w:val="24"/>
          <w:szCs w:val="24"/>
          <w:lang w:val="en-US"/>
        </w:rPr>
      </w:pPr>
    </w:p>
    <w:p w14:paraId="12E6CA7B" w14:textId="1CA72C5E" w:rsidR="000025D0" w:rsidRPr="00F93EDB" w:rsidRDefault="000025D0" w:rsidP="000025D0">
      <w:pPr>
        <w:spacing w:line="360" w:lineRule="auto"/>
        <w:jc w:val="both"/>
        <w:rPr>
          <w:rFonts w:ascii="Arial" w:hAnsi="Arial" w:cs="Arial"/>
          <w:sz w:val="24"/>
          <w:szCs w:val="24"/>
          <w:lang w:val="en-US"/>
        </w:rPr>
      </w:pPr>
      <w:r w:rsidRPr="00F93EDB">
        <w:rPr>
          <w:rFonts w:ascii="Arial" w:hAnsi="Arial" w:cs="Arial"/>
          <w:sz w:val="24"/>
          <w:szCs w:val="24"/>
          <w:lang w:val="en-US"/>
        </w:rPr>
        <w:t>Abstract</w:t>
      </w:r>
    </w:p>
    <w:p w14:paraId="532B4CEE" w14:textId="6C3A6212" w:rsidR="00F93EDB" w:rsidRPr="00F93EDB" w:rsidRDefault="00F93EDB" w:rsidP="00F93EDB">
      <w:pPr>
        <w:spacing w:line="360" w:lineRule="auto"/>
        <w:jc w:val="both"/>
        <w:rPr>
          <w:rFonts w:ascii="Arial" w:hAnsi="Arial" w:cs="Arial"/>
          <w:sz w:val="24"/>
          <w:szCs w:val="24"/>
          <w:lang w:val="en-US"/>
        </w:rPr>
      </w:pPr>
      <w:r w:rsidRPr="00F93EDB">
        <w:rPr>
          <w:rFonts w:ascii="Arial" w:hAnsi="Arial" w:cs="Arial"/>
          <w:sz w:val="24"/>
          <w:szCs w:val="24"/>
          <w:lang w:val="en-US"/>
        </w:rPr>
        <w:t xml:space="preserve">Laparoscopic cholecystectomy has been established as the gold standard for the treatment of symptomatic cholelithiasis. Evidence consistently demonstrates the superiority of the minimally invasive approach over open surgery regarding morbidity, hospital stay, and functional recovery. </w:t>
      </w:r>
      <w:r w:rsidR="00916E65" w:rsidRPr="00F93EDB">
        <w:rPr>
          <w:rFonts w:ascii="Arial" w:hAnsi="Arial" w:cs="Arial"/>
          <w:sz w:val="24"/>
          <w:szCs w:val="24"/>
          <w:lang w:val="en-US"/>
        </w:rPr>
        <w:t>This review is a bibliographic research study with an integrative approach, critically analyzing studies indexed in the LILACS, MEDLINE, and PubMed databases, published between 20</w:t>
      </w:r>
      <w:r w:rsidR="00C10F87">
        <w:rPr>
          <w:rFonts w:ascii="Arial" w:hAnsi="Arial" w:cs="Arial"/>
          <w:sz w:val="24"/>
          <w:szCs w:val="24"/>
          <w:lang w:val="en-US"/>
        </w:rPr>
        <w:t>0</w:t>
      </w:r>
      <w:r w:rsidR="00916E65" w:rsidRPr="00F93EDB">
        <w:rPr>
          <w:rFonts w:ascii="Arial" w:hAnsi="Arial" w:cs="Arial"/>
          <w:sz w:val="24"/>
          <w:szCs w:val="24"/>
          <w:lang w:val="en-US"/>
        </w:rPr>
        <w:t>0 and 2024. The analysis of descriptors in these databases initially resulted in 312 articles. After removing duplicates (n=48), 264 studies remained for title and abstract analysis. Of these, 198 were excluded for not meeting the inclusion criteria. Sixty-six articles were evaluated in full, with 51 excluded for not presenting a direct comparison between the techniques or for inadequate methodology. In the end, 15 studies comprised the review. Results and Discussion: The application of content analysis methodology to the literature indicates a significant reduction in infectious complications, less postoperative pain, and an earlier return to activities with the laparoscopic approach (</w:t>
      </w:r>
      <w:r w:rsidR="001B70AF" w:rsidRPr="001B70AF">
        <w:rPr>
          <w:rFonts w:ascii="Arial" w:hAnsi="Arial" w:cs="Arial"/>
          <w:sz w:val="24"/>
          <w:szCs w:val="24"/>
          <w:lang w:val="en-US"/>
        </w:rPr>
        <w:t>4,6,11</w:t>
      </w:r>
      <w:r w:rsidR="00916E65" w:rsidRPr="00F93EDB">
        <w:rPr>
          <w:rFonts w:ascii="Arial" w:hAnsi="Arial" w:cs="Arial"/>
          <w:sz w:val="24"/>
          <w:szCs w:val="24"/>
          <w:lang w:val="en-US"/>
        </w:rPr>
        <w:t xml:space="preserve">). </w:t>
      </w:r>
      <w:r w:rsidRPr="00F93EDB">
        <w:rPr>
          <w:rFonts w:ascii="Arial" w:hAnsi="Arial" w:cs="Arial"/>
          <w:sz w:val="24"/>
          <w:szCs w:val="24"/>
          <w:lang w:val="en-US"/>
        </w:rPr>
        <w:t>Bile duct injury rates were comparable between techniques when appropriate surgical principles were applied (</w:t>
      </w:r>
      <w:r w:rsidR="001B70AF" w:rsidRPr="001B70AF">
        <w:rPr>
          <w:rFonts w:ascii="Arial" w:hAnsi="Arial" w:cs="Arial"/>
          <w:sz w:val="24"/>
          <w:szCs w:val="24"/>
          <w:lang w:val="en-US"/>
        </w:rPr>
        <w:t>8,7,14</w:t>
      </w:r>
      <w:r w:rsidRPr="00F93EDB">
        <w:rPr>
          <w:rFonts w:ascii="Arial" w:hAnsi="Arial" w:cs="Arial"/>
          <w:sz w:val="24"/>
          <w:szCs w:val="24"/>
          <w:lang w:val="en-US"/>
        </w:rPr>
        <w:t>). Laparoscopic cholecystectomy remains the preferred surgical approach due to improved postoperative outcomes and faster recovery while maintaining a comparable safety profile.</w:t>
      </w:r>
    </w:p>
    <w:p w14:paraId="06A7D4D8" w14:textId="77777777" w:rsidR="000025D0" w:rsidRPr="00F93EDB" w:rsidRDefault="000025D0" w:rsidP="000025D0">
      <w:pPr>
        <w:spacing w:line="360" w:lineRule="auto"/>
        <w:jc w:val="both"/>
        <w:rPr>
          <w:rFonts w:ascii="Arial" w:hAnsi="Arial" w:cs="Arial"/>
          <w:sz w:val="24"/>
          <w:szCs w:val="24"/>
          <w:lang w:val="en-US"/>
        </w:rPr>
      </w:pPr>
      <w:r w:rsidRPr="00F93EDB">
        <w:rPr>
          <w:rFonts w:ascii="Arial" w:hAnsi="Arial" w:cs="Arial"/>
          <w:sz w:val="24"/>
          <w:szCs w:val="24"/>
          <w:lang w:val="en-US"/>
        </w:rPr>
        <w:lastRenderedPageBreak/>
        <w:t>Keywords: Cholecystectomy; Laparoscopy; General Surgery; Postoperative Outcomes; Morbidity.</w:t>
      </w:r>
    </w:p>
    <w:p w14:paraId="03B28F4B" w14:textId="77777777" w:rsidR="00D11FAC" w:rsidRDefault="00D11FAC" w:rsidP="000025D0">
      <w:pPr>
        <w:spacing w:line="360" w:lineRule="auto"/>
        <w:jc w:val="both"/>
        <w:rPr>
          <w:rFonts w:ascii="Arial" w:hAnsi="Arial" w:cs="Arial"/>
          <w:sz w:val="24"/>
          <w:szCs w:val="24"/>
        </w:rPr>
      </w:pPr>
    </w:p>
    <w:p w14:paraId="6F9D13B2" w14:textId="2F58FB6F" w:rsidR="000025D0" w:rsidRPr="00F93EDB" w:rsidRDefault="000025D0" w:rsidP="000025D0">
      <w:pPr>
        <w:spacing w:line="360" w:lineRule="auto"/>
        <w:jc w:val="both"/>
        <w:rPr>
          <w:rFonts w:ascii="Arial" w:hAnsi="Arial" w:cs="Arial"/>
          <w:sz w:val="24"/>
          <w:szCs w:val="24"/>
        </w:rPr>
      </w:pPr>
      <w:r w:rsidRPr="00F93EDB">
        <w:rPr>
          <w:rFonts w:ascii="Arial" w:hAnsi="Arial" w:cs="Arial"/>
          <w:sz w:val="24"/>
          <w:szCs w:val="24"/>
        </w:rPr>
        <w:t>Introdução</w:t>
      </w:r>
    </w:p>
    <w:p w14:paraId="78097A76" w14:textId="66FD068C" w:rsidR="000025D0" w:rsidRPr="00F93EDB" w:rsidRDefault="000025D0" w:rsidP="00C10F87">
      <w:pPr>
        <w:spacing w:line="360" w:lineRule="auto"/>
        <w:ind w:firstLine="708"/>
        <w:jc w:val="both"/>
        <w:rPr>
          <w:rFonts w:ascii="Arial" w:hAnsi="Arial" w:cs="Arial"/>
          <w:sz w:val="24"/>
          <w:szCs w:val="24"/>
        </w:rPr>
      </w:pPr>
      <w:r w:rsidRPr="00F93EDB">
        <w:rPr>
          <w:rFonts w:ascii="Arial" w:hAnsi="Arial" w:cs="Arial"/>
          <w:sz w:val="24"/>
          <w:szCs w:val="24"/>
        </w:rPr>
        <w:t xml:space="preserve">A colelitíase é uma das patologias mais prevalentes na prática da cirurgia geral, sendo a colecistectomia o tratamento definitivo nos casos sintomáticos. A introdução da videolaparoscopia representou um marco na cirurgia abdominal, promovendo redução do trauma cirúrgico, menor resposta inflamatória sistêmica e melhor recuperação pós-operatória </w:t>
      </w:r>
      <w:r w:rsidR="00F93EDB" w:rsidRPr="001B70AF">
        <w:rPr>
          <w:rFonts w:ascii="Arial" w:hAnsi="Arial" w:cs="Arial"/>
          <w:sz w:val="24"/>
          <w:szCs w:val="24"/>
        </w:rPr>
        <w:t>(</w:t>
      </w:r>
      <w:r w:rsidR="001B70AF" w:rsidRPr="001B70AF">
        <w:rPr>
          <w:rFonts w:ascii="Arial" w:hAnsi="Arial" w:cs="Arial"/>
          <w:sz w:val="24"/>
          <w:szCs w:val="24"/>
        </w:rPr>
        <w:t>15</w:t>
      </w:r>
      <w:r w:rsidR="00F93EDB" w:rsidRPr="001B70AF">
        <w:rPr>
          <w:rFonts w:ascii="Arial" w:hAnsi="Arial" w:cs="Arial"/>
          <w:sz w:val="24"/>
          <w:szCs w:val="24"/>
        </w:rPr>
        <w:t>)</w:t>
      </w:r>
      <w:r w:rsidR="00C10F87" w:rsidRPr="001B70AF">
        <w:rPr>
          <w:rFonts w:ascii="Arial" w:hAnsi="Arial" w:cs="Arial"/>
          <w:sz w:val="24"/>
          <w:szCs w:val="24"/>
        </w:rPr>
        <w:t>.</w:t>
      </w:r>
    </w:p>
    <w:p w14:paraId="41301BCF" w14:textId="27A68427" w:rsidR="00DF5BB9" w:rsidRDefault="000025D0" w:rsidP="00C10F87">
      <w:pPr>
        <w:spacing w:line="360" w:lineRule="auto"/>
        <w:ind w:firstLine="708"/>
        <w:jc w:val="both"/>
        <w:rPr>
          <w:rFonts w:ascii="Arial" w:hAnsi="Arial" w:cs="Arial"/>
          <w:color w:val="EE0000"/>
          <w:sz w:val="24"/>
          <w:szCs w:val="24"/>
        </w:rPr>
      </w:pPr>
      <w:r w:rsidRPr="00F93EDB">
        <w:rPr>
          <w:rFonts w:ascii="Arial" w:hAnsi="Arial" w:cs="Arial"/>
          <w:sz w:val="24"/>
          <w:szCs w:val="24"/>
        </w:rPr>
        <w:t>Estudos clássicos já demonstravam menor morbidade associada à abordagem laparoscópica quando comparada à técnica aberta (</w:t>
      </w:r>
      <w:r w:rsidR="001B70AF">
        <w:rPr>
          <w:rFonts w:ascii="Arial" w:hAnsi="Arial" w:cs="Arial"/>
          <w:sz w:val="24"/>
          <w:szCs w:val="24"/>
        </w:rPr>
        <w:t>12</w:t>
      </w:r>
      <w:r w:rsidR="00635244">
        <w:rPr>
          <w:rFonts w:ascii="Arial" w:hAnsi="Arial" w:cs="Arial"/>
          <w:sz w:val="24"/>
          <w:szCs w:val="24"/>
        </w:rPr>
        <w:t>).</w:t>
      </w:r>
      <w:r w:rsidRPr="00F93EDB">
        <w:rPr>
          <w:rFonts w:ascii="Arial" w:hAnsi="Arial" w:cs="Arial"/>
          <w:sz w:val="24"/>
          <w:szCs w:val="24"/>
        </w:rPr>
        <w:t xml:space="preserve"> Ao longo das últimas décadas, ensaios clínicos randomizados e revisões sistemáticas consolidaram essas evidências, reforçando a laparoscopia como padrão-ouro (</w:t>
      </w:r>
      <w:r w:rsidR="001B70AF">
        <w:rPr>
          <w:rFonts w:ascii="Arial" w:hAnsi="Arial" w:cs="Arial"/>
          <w:sz w:val="24"/>
          <w:szCs w:val="24"/>
        </w:rPr>
        <w:t>4,6).</w:t>
      </w:r>
    </w:p>
    <w:p w14:paraId="48E85352" w14:textId="327B59C8" w:rsidR="000025D0" w:rsidRDefault="000025D0" w:rsidP="00C10F87">
      <w:pPr>
        <w:spacing w:line="360" w:lineRule="auto"/>
        <w:ind w:firstLine="708"/>
        <w:jc w:val="both"/>
        <w:rPr>
          <w:rFonts w:ascii="Arial" w:hAnsi="Arial" w:cs="Arial"/>
          <w:sz w:val="24"/>
          <w:szCs w:val="24"/>
        </w:rPr>
      </w:pPr>
      <w:r w:rsidRPr="00F93EDB">
        <w:rPr>
          <w:rFonts w:ascii="Arial" w:hAnsi="Arial" w:cs="Arial"/>
          <w:sz w:val="24"/>
          <w:szCs w:val="24"/>
        </w:rPr>
        <w:t>Apesar disso, ainda existem discussões acerca de complicações específicas, como lesão de ducto biliar, bem como sua aplicabilidade em contextos de colecistite aguda complicada.</w:t>
      </w:r>
    </w:p>
    <w:p w14:paraId="0F27A2E2" w14:textId="0BBBFF18" w:rsidR="00635244" w:rsidRPr="00635244" w:rsidRDefault="00635244" w:rsidP="00635244">
      <w:pPr>
        <w:spacing w:line="360" w:lineRule="auto"/>
        <w:ind w:firstLine="708"/>
        <w:jc w:val="both"/>
        <w:rPr>
          <w:rFonts w:ascii="Arial" w:hAnsi="Arial" w:cs="Arial"/>
          <w:sz w:val="24"/>
          <w:szCs w:val="24"/>
        </w:rPr>
      </w:pPr>
      <w:r w:rsidRPr="00635244">
        <w:rPr>
          <w:rFonts w:ascii="Arial" w:hAnsi="Arial" w:cs="Arial"/>
          <w:sz w:val="24"/>
          <w:szCs w:val="24"/>
        </w:rPr>
        <w:t>A colelitíase constitui uma das afecções mais prevalentes do trato digestivo, representando causa frequente de atendimento em serviços de urgência e importante demanda cirúrgica no Brasil. A evolução para quadros sintomáticos, como colecistite aguda, pancreatite biliar e coledocolitíase, impõe indicação formal de tratamento cirúrgico definitivo, sendo a colecistectomia o procedimento de escolha (</w:t>
      </w:r>
      <w:r w:rsidR="001B70AF" w:rsidRPr="001B70AF">
        <w:rPr>
          <w:rFonts w:ascii="Arial" w:hAnsi="Arial" w:cs="Arial"/>
          <w:sz w:val="24"/>
          <w:szCs w:val="24"/>
        </w:rPr>
        <w:t>5</w:t>
      </w:r>
      <w:r w:rsidRPr="00635244">
        <w:rPr>
          <w:rFonts w:ascii="Arial" w:hAnsi="Arial" w:cs="Arial"/>
          <w:sz w:val="24"/>
          <w:szCs w:val="24"/>
        </w:rPr>
        <w:t>).</w:t>
      </w:r>
    </w:p>
    <w:p w14:paraId="7EA071B8" w14:textId="4D9AA35E" w:rsidR="00635244" w:rsidRPr="00635244" w:rsidRDefault="00635244" w:rsidP="00635244">
      <w:pPr>
        <w:spacing w:line="360" w:lineRule="auto"/>
        <w:ind w:firstLine="708"/>
        <w:jc w:val="both"/>
        <w:rPr>
          <w:rFonts w:ascii="Arial" w:hAnsi="Arial" w:cs="Arial"/>
          <w:sz w:val="24"/>
          <w:szCs w:val="24"/>
        </w:rPr>
      </w:pPr>
      <w:r w:rsidRPr="00635244">
        <w:rPr>
          <w:rFonts w:ascii="Arial" w:hAnsi="Arial" w:cs="Arial"/>
          <w:sz w:val="24"/>
          <w:szCs w:val="24"/>
        </w:rPr>
        <w:t>Nas últimas décadas, a incorporação da técnica videolaparoscópica promoveu significativa transformação na prática cirúrgica nacional. No Brasil, estudos publicados na Revista do Colégio Brasileiro de Cirurgiões demonstram que a colecistectomia videolaparoscópica apresenta menor tempo de internação, redução da dor pós-operatória e retorno mais precoce às atividades habituais quando comparada à técnica aberta convencional (</w:t>
      </w:r>
      <w:r w:rsidR="001B70AF" w:rsidRPr="001B70AF">
        <w:rPr>
          <w:rFonts w:ascii="Arial" w:hAnsi="Arial" w:cs="Arial"/>
          <w:sz w:val="24"/>
          <w:szCs w:val="24"/>
        </w:rPr>
        <w:t>10</w:t>
      </w:r>
      <w:r w:rsidRPr="00635244">
        <w:rPr>
          <w:rFonts w:ascii="Arial" w:hAnsi="Arial" w:cs="Arial"/>
          <w:sz w:val="24"/>
          <w:szCs w:val="24"/>
        </w:rPr>
        <w:t>). Esses achados reforçam a consolidação da abordagem minimamente invasiva como padrão terapêutico em centros de diferentes níveis de complexidade.</w:t>
      </w:r>
    </w:p>
    <w:p w14:paraId="6C3793D5" w14:textId="454B491A" w:rsidR="00635244" w:rsidRPr="00635244" w:rsidRDefault="00635244" w:rsidP="00635244">
      <w:pPr>
        <w:spacing w:line="360" w:lineRule="auto"/>
        <w:ind w:firstLine="708"/>
        <w:jc w:val="both"/>
        <w:rPr>
          <w:rFonts w:ascii="Arial" w:hAnsi="Arial" w:cs="Arial"/>
          <w:sz w:val="24"/>
          <w:szCs w:val="24"/>
        </w:rPr>
      </w:pPr>
      <w:r w:rsidRPr="00635244">
        <w:rPr>
          <w:rFonts w:ascii="Arial" w:hAnsi="Arial" w:cs="Arial"/>
          <w:sz w:val="24"/>
          <w:szCs w:val="24"/>
        </w:rPr>
        <w:lastRenderedPageBreak/>
        <w:t xml:space="preserve">A difusão da videolaparoscopia no país também esteve associada à modernização tecnológica e à capacitação progressiva das equipes cirúrgicas, impactando positivamente os indicadores assistenciais. </w:t>
      </w:r>
      <w:r w:rsidR="00DF5BB9" w:rsidRPr="00DF5BB9">
        <w:rPr>
          <w:rFonts w:ascii="Arial" w:hAnsi="Arial" w:cs="Arial"/>
          <w:sz w:val="24"/>
          <w:szCs w:val="24"/>
        </w:rPr>
        <w:t>Uma</w:t>
      </w:r>
      <w:r w:rsidRPr="00635244">
        <w:rPr>
          <w:rFonts w:ascii="Arial" w:hAnsi="Arial" w:cs="Arial"/>
          <w:sz w:val="24"/>
          <w:szCs w:val="24"/>
        </w:rPr>
        <w:t xml:space="preserve"> análise nacional publicada nos Arquivos Brasileiros de Cirurgia Digestiva, destacam que a expansão da técnica no Brasil contribuiu para redução de complicações infecciosas e melhoria dos desfechos hospitalares globais</w:t>
      </w:r>
      <w:r w:rsidR="00DF5BB9">
        <w:rPr>
          <w:rFonts w:ascii="Arial" w:hAnsi="Arial" w:cs="Arial"/>
          <w:sz w:val="24"/>
          <w:szCs w:val="24"/>
        </w:rPr>
        <w:t xml:space="preserve"> </w:t>
      </w:r>
      <w:r w:rsidR="001B70AF">
        <w:rPr>
          <w:rFonts w:ascii="Arial" w:hAnsi="Arial" w:cs="Arial"/>
          <w:sz w:val="24"/>
          <w:szCs w:val="24"/>
        </w:rPr>
        <w:t>(3)</w:t>
      </w:r>
      <w:r w:rsidRPr="00635244">
        <w:rPr>
          <w:rFonts w:ascii="Arial" w:hAnsi="Arial" w:cs="Arial"/>
          <w:sz w:val="24"/>
          <w:szCs w:val="24"/>
        </w:rPr>
        <w:t>.</w:t>
      </w:r>
    </w:p>
    <w:p w14:paraId="2B2F331D" w14:textId="66D14090" w:rsidR="00635244" w:rsidRPr="00635244" w:rsidRDefault="00635244" w:rsidP="00635244">
      <w:pPr>
        <w:spacing w:line="360" w:lineRule="auto"/>
        <w:ind w:firstLine="708"/>
        <w:jc w:val="both"/>
        <w:rPr>
          <w:rFonts w:ascii="Arial" w:hAnsi="Arial" w:cs="Arial"/>
          <w:sz w:val="24"/>
          <w:szCs w:val="24"/>
        </w:rPr>
      </w:pPr>
      <w:r w:rsidRPr="00635244">
        <w:rPr>
          <w:rFonts w:ascii="Arial" w:hAnsi="Arial" w:cs="Arial"/>
          <w:sz w:val="24"/>
          <w:szCs w:val="24"/>
        </w:rPr>
        <w:t xml:space="preserve">Entretanto, apesar das vantagens amplamente descritas, a colecistectomia laparoscópica não está isenta de riscos. Complicações como lesão de via biliar permanecem como eventos de alta relevância clínica, podendo acarretar morbidade significativa e necessidade de </w:t>
      </w:r>
      <w:proofErr w:type="spellStart"/>
      <w:r w:rsidRPr="00635244">
        <w:rPr>
          <w:rFonts w:ascii="Arial" w:hAnsi="Arial" w:cs="Arial"/>
          <w:sz w:val="24"/>
          <w:szCs w:val="24"/>
        </w:rPr>
        <w:t>reintervenções</w:t>
      </w:r>
      <w:proofErr w:type="spellEnd"/>
      <w:r w:rsidRPr="00635244">
        <w:rPr>
          <w:rFonts w:ascii="Arial" w:hAnsi="Arial" w:cs="Arial"/>
          <w:sz w:val="24"/>
          <w:szCs w:val="24"/>
        </w:rPr>
        <w:t xml:space="preserve"> (</w:t>
      </w:r>
      <w:r w:rsidR="001B70AF">
        <w:rPr>
          <w:rFonts w:ascii="Arial" w:hAnsi="Arial" w:cs="Arial"/>
          <w:sz w:val="24"/>
          <w:szCs w:val="24"/>
        </w:rPr>
        <w:t>8</w:t>
      </w:r>
      <w:r w:rsidRPr="00635244">
        <w:rPr>
          <w:rFonts w:ascii="Arial" w:hAnsi="Arial" w:cs="Arial"/>
          <w:sz w:val="24"/>
          <w:szCs w:val="24"/>
        </w:rPr>
        <w:t>). Estudos nacionais também ressaltam que fatores como inflamação avançada, variações anatômicas e curva de aprendizado influenciam diretamente os resultados pós-operatórios (</w:t>
      </w:r>
      <w:r w:rsidR="001B70AF">
        <w:rPr>
          <w:rFonts w:ascii="Arial" w:hAnsi="Arial" w:cs="Arial"/>
          <w:sz w:val="24"/>
          <w:szCs w:val="24"/>
        </w:rPr>
        <w:t>9</w:t>
      </w:r>
      <w:r w:rsidRPr="00635244">
        <w:rPr>
          <w:rFonts w:ascii="Arial" w:hAnsi="Arial" w:cs="Arial"/>
          <w:sz w:val="24"/>
          <w:szCs w:val="24"/>
        </w:rPr>
        <w:t>).</w:t>
      </w:r>
    </w:p>
    <w:p w14:paraId="11FD15DF" w14:textId="4CC8A631" w:rsidR="00635244" w:rsidRDefault="00635244" w:rsidP="00635244">
      <w:pPr>
        <w:spacing w:line="360" w:lineRule="auto"/>
        <w:ind w:firstLine="708"/>
        <w:jc w:val="both"/>
        <w:rPr>
          <w:rFonts w:ascii="Arial" w:hAnsi="Arial" w:cs="Arial"/>
          <w:sz w:val="24"/>
          <w:szCs w:val="24"/>
        </w:rPr>
      </w:pPr>
      <w:r w:rsidRPr="00635244">
        <w:rPr>
          <w:rFonts w:ascii="Arial" w:hAnsi="Arial" w:cs="Arial"/>
          <w:sz w:val="24"/>
          <w:szCs w:val="24"/>
        </w:rPr>
        <w:t>Dessa forma, embora a abordagem minimamente invasiva esteja consolidada como padrão-ouro, torna-se fundamental analisar criticamente seus desfechos pós-operatórios no contexto brasileiro, considerando variáveis clínicas, estruturais e técnicas que podem impactar a segurança e a efetividade do procedimento.</w:t>
      </w:r>
    </w:p>
    <w:p w14:paraId="01770753" w14:textId="77777777" w:rsidR="00D11FAC" w:rsidRDefault="00D11FAC" w:rsidP="000025D0">
      <w:pPr>
        <w:spacing w:line="360" w:lineRule="auto"/>
        <w:jc w:val="both"/>
        <w:rPr>
          <w:rFonts w:ascii="Arial" w:hAnsi="Arial" w:cs="Arial"/>
          <w:sz w:val="24"/>
          <w:szCs w:val="24"/>
        </w:rPr>
      </w:pPr>
    </w:p>
    <w:p w14:paraId="13D13A12" w14:textId="10900E08" w:rsidR="000025D0" w:rsidRPr="00F93EDB" w:rsidRDefault="000025D0" w:rsidP="000025D0">
      <w:pPr>
        <w:spacing w:line="360" w:lineRule="auto"/>
        <w:jc w:val="both"/>
        <w:rPr>
          <w:rFonts w:ascii="Arial" w:hAnsi="Arial" w:cs="Arial"/>
          <w:sz w:val="24"/>
          <w:szCs w:val="24"/>
        </w:rPr>
      </w:pPr>
      <w:r w:rsidRPr="00F93EDB">
        <w:rPr>
          <w:rFonts w:ascii="Arial" w:hAnsi="Arial" w:cs="Arial"/>
          <w:sz w:val="24"/>
          <w:szCs w:val="24"/>
        </w:rPr>
        <w:t>M</w:t>
      </w:r>
      <w:r w:rsidR="00C10F87">
        <w:rPr>
          <w:rFonts w:ascii="Arial" w:hAnsi="Arial" w:cs="Arial"/>
          <w:sz w:val="24"/>
          <w:szCs w:val="24"/>
        </w:rPr>
        <w:t>etodologia</w:t>
      </w:r>
    </w:p>
    <w:p w14:paraId="5CAD90BD" w14:textId="77777777" w:rsidR="000025D0" w:rsidRPr="00F93EDB" w:rsidRDefault="000025D0" w:rsidP="00C10F87">
      <w:pPr>
        <w:spacing w:line="360" w:lineRule="auto"/>
        <w:ind w:firstLine="708"/>
        <w:jc w:val="both"/>
        <w:rPr>
          <w:rFonts w:ascii="Arial" w:hAnsi="Arial" w:cs="Arial"/>
          <w:sz w:val="24"/>
          <w:szCs w:val="24"/>
        </w:rPr>
      </w:pPr>
      <w:r w:rsidRPr="00F93EDB">
        <w:rPr>
          <w:rFonts w:ascii="Arial" w:hAnsi="Arial" w:cs="Arial"/>
          <w:sz w:val="24"/>
          <w:szCs w:val="24"/>
        </w:rPr>
        <w:t xml:space="preserve">Realizou-se revisão integrativa da literatura com busca estruturada nas bases LILACS, MEDLINE e PubMed. Utilizaram-se os descritores MeSH: </w:t>
      </w:r>
      <w:proofErr w:type="spellStart"/>
      <w:r w:rsidRPr="00F93EDB">
        <w:rPr>
          <w:rFonts w:ascii="Arial" w:hAnsi="Arial" w:cs="Arial"/>
          <w:sz w:val="24"/>
          <w:szCs w:val="24"/>
        </w:rPr>
        <w:t>Laparoscopic</w:t>
      </w:r>
      <w:proofErr w:type="spellEnd"/>
      <w:r w:rsidRPr="00F93EDB">
        <w:rPr>
          <w:rFonts w:ascii="Arial" w:hAnsi="Arial" w:cs="Arial"/>
          <w:sz w:val="24"/>
          <w:szCs w:val="24"/>
        </w:rPr>
        <w:t xml:space="preserve"> </w:t>
      </w:r>
      <w:proofErr w:type="spellStart"/>
      <w:r w:rsidRPr="00F93EDB">
        <w:rPr>
          <w:rFonts w:ascii="Arial" w:hAnsi="Arial" w:cs="Arial"/>
          <w:sz w:val="24"/>
          <w:szCs w:val="24"/>
        </w:rPr>
        <w:t>Cholecystectomy</w:t>
      </w:r>
      <w:proofErr w:type="spellEnd"/>
      <w:r w:rsidRPr="00F93EDB">
        <w:rPr>
          <w:rFonts w:ascii="Arial" w:hAnsi="Arial" w:cs="Arial"/>
          <w:sz w:val="24"/>
          <w:szCs w:val="24"/>
        </w:rPr>
        <w:t xml:space="preserve">, Open </w:t>
      </w:r>
      <w:proofErr w:type="spellStart"/>
      <w:r w:rsidRPr="00F93EDB">
        <w:rPr>
          <w:rFonts w:ascii="Arial" w:hAnsi="Arial" w:cs="Arial"/>
          <w:sz w:val="24"/>
          <w:szCs w:val="24"/>
        </w:rPr>
        <w:t>Cholecystectomy</w:t>
      </w:r>
      <w:proofErr w:type="spellEnd"/>
      <w:r w:rsidRPr="00F93EDB">
        <w:rPr>
          <w:rFonts w:ascii="Arial" w:hAnsi="Arial" w:cs="Arial"/>
          <w:sz w:val="24"/>
          <w:szCs w:val="24"/>
        </w:rPr>
        <w:t xml:space="preserve"> e </w:t>
      </w:r>
      <w:proofErr w:type="spellStart"/>
      <w:r w:rsidRPr="00F93EDB">
        <w:rPr>
          <w:rFonts w:ascii="Arial" w:hAnsi="Arial" w:cs="Arial"/>
          <w:sz w:val="24"/>
          <w:szCs w:val="24"/>
        </w:rPr>
        <w:t>Postoperative</w:t>
      </w:r>
      <w:proofErr w:type="spellEnd"/>
      <w:r w:rsidRPr="00F93EDB">
        <w:rPr>
          <w:rFonts w:ascii="Arial" w:hAnsi="Arial" w:cs="Arial"/>
          <w:sz w:val="24"/>
          <w:szCs w:val="24"/>
        </w:rPr>
        <w:t xml:space="preserve"> </w:t>
      </w:r>
      <w:proofErr w:type="spellStart"/>
      <w:r w:rsidRPr="00F93EDB">
        <w:rPr>
          <w:rFonts w:ascii="Arial" w:hAnsi="Arial" w:cs="Arial"/>
          <w:sz w:val="24"/>
          <w:szCs w:val="24"/>
        </w:rPr>
        <w:t>Complications</w:t>
      </w:r>
      <w:proofErr w:type="spellEnd"/>
      <w:r w:rsidRPr="00F93EDB">
        <w:rPr>
          <w:rFonts w:ascii="Arial" w:hAnsi="Arial" w:cs="Arial"/>
          <w:sz w:val="24"/>
          <w:szCs w:val="24"/>
        </w:rPr>
        <w:t>, combinados por operadores booleanos.</w:t>
      </w:r>
    </w:p>
    <w:p w14:paraId="6B01E1C4" w14:textId="140ACF1D" w:rsidR="000025D0" w:rsidRPr="00F93EDB" w:rsidRDefault="000025D0" w:rsidP="00C10F87">
      <w:pPr>
        <w:spacing w:line="360" w:lineRule="auto"/>
        <w:ind w:firstLine="708"/>
        <w:jc w:val="both"/>
        <w:rPr>
          <w:rFonts w:ascii="Arial" w:hAnsi="Arial" w:cs="Arial"/>
          <w:sz w:val="24"/>
          <w:szCs w:val="24"/>
        </w:rPr>
      </w:pPr>
      <w:r w:rsidRPr="00F93EDB">
        <w:rPr>
          <w:rFonts w:ascii="Arial" w:hAnsi="Arial" w:cs="Arial"/>
          <w:sz w:val="24"/>
          <w:szCs w:val="24"/>
        </w:rPr>
        <w:t>Critérios de inclusão:</w:t>
      </w:r>
      <w:r w:rsidR="00C10F87">
        <w:rPr>
          <w:rFonts w:ascii="Arial" w:hAnsi="Arial" w:cs="Arial"/>
          <w:sz w:val="24"/>
          <w:szCs w:val="24"/>
        </w:rPr>
        <w:t xml:space="preserve"> </w:t>
      </w:r>
      <w:r w:rsidRPr="00F93EDB">
        <w:rPr>
          <w:rFonts w:ascii="Arial" w:hAnsi="Arial" w:cs="Arial"/>
          <w:sz w:val="24"/>
          <w:szCs w:val="24"/>
        </w:rPr>
        <w:t>Ensaios clínicos randomizados</w:t>
      </w:r>
      <w:r w:rsidR="00C10F87">
        <w:rPr>
          <w:rFonts w:ascii="Arial" w:hAnsi="Arial" w:cs="Arial"/>
          <w:sz w:val="24"/>
          <w:szCs w:val="24"/>
        </w:rPr>
        <w:t>, e</w:t>
      </w:r>
      <w:r w:rsidRPr="00F93EDB">
        <w:rPr>
          <w:rFonts w:ascii="Arial" w:hAnsi="Arial" w:cs="Arial"/>
          <w:sz w:val="24"/>
          <w:szCs w:val="24"/>
        </w:rPr>
        <w:t>studos observacionais comparativos</w:t>
      </w:r>
      <w:r w:rsidR="00C10F87">
        <w:rPr>
          <w:rFonts w:ascii="Arial" w:hAnsi="Arial" w:cs="Arial"/>
          <w:sz w:val="24"/>
          <w:szCs w:val="24"/>
        </w:rPr>
        <w:t>, r</w:t>
      </w:r>
      <w:r w:rsidRPr="00F93EDB">
        <w:rPr>
          <w:rFonts w:ascii="Arial" w:hAnsi="Arial" w:cs="Arial"/>
          <w:sz w:val="24"/>
          <w:szCs w:val="24"/>
        </w:rPr>
        <w:t>evisões sistemáticas e meta-análises</w:t>
      </w:r>
      <w:r w:rsidR="00C10F87">
        <w:rPr>
          <w:rFonts w:ascii="Arial" w:hAnsi="Arial" w:cs="Arial"/>
          <w:sz w:val="24"/>
          <w:szCs w:val="24"/>
        </w:rPr>
        <w:t>, p</w:t>
      </w:r>
      <w:r w:rsidRPr="00F93EDB">
        <w:rPr>
          <w:rFonts w:ascii="Arial" w:hAnsi="Arial" w:cs="Arial"/>
          <w:sz w:val="24"/>
          <w:szCs w:val="24"/>
        </w:rPr>
        <w:t>ublicações entre 20</w:t>
      </w:r>
      <w:r w:rsidR="00C10F87">
        <w:rPr>
          <w:rFonts w:ascii="Arial" w:hAnsi="Arial" w:cs="Arial"/>
          <w:sz w:val="24"/>
          <w:szCs w:val="24"/>
        </w:rPr>
        <w:t>0</w:t>
      </w:r>
      <w:r w:rsidRPr="00F93EDB">
        <w:rPr>
          <w:rFonts w:ascii="Arial" w:hAnsi="Arial" w:cs="Arial"/>
          <w:sz w:val="24"/>
          <w:szCs w:val="24"/>
        </w:rPr>
        <w:t xml:space="preserve">0 e </w:t>
      </w:r>
      <w:r w:rsidR="00C10F87">
        <w:rPr>
          <w:rFonts w:ascii="Arial" w:hAnsi="Arial" w:cs="Arial"/>
          <w:sz w:val="24"/>
          <w:szCs w:val="24"/>
        </w:rPr>
        <w:t>2</w:t>
      </w:r>
      <w:r w:rsidRPr="00F93EDB">
        <w:rPr>
          <w:rFonts w:ascii="Arial" w:hAnsi="Arial" w:cs="Arial"/>
          <w:sz w:val="24"/>
          <w:szCs w:val="24"/>
        </w:rPr>
        <w:t>024</w:t>
      </w:r>
      <w:r w:rsidR="00C10F87">
        <w:rPr>
          <w:rFonts w:ascii="Arial" w:hAnsi="Arial" w:cs="Arial"/>
          <w:sz w:val="24"/>
          <w:szCs w:val="24"/>
        </w:rPr>
        <w:t>.</w:t>
      </w:r>
      <w:r w:rsidRPr="00F93EDB">
        <w:rPr>
          <w:rFonts w:ascii="Arial" w:hAnsi="Arial" w:cs="Arial"/>
          <w:sz w:val="24"/>
          <w:szCs w:val="24"/>
        </w:rPr>
        <w:t>Idiomas</w:t>
      </w:r>
      <w:r w:rsidR="00C10F87">
        <w:rPr>
          <w:rFonts w:ascii="Arial" w:hAnsi="Arial" w:cs="Arial"/>
          <w:sz w:val="24"/>
          <w:szCs w:val="24"/>
        </w:rPr>
        <w:t xml:space="preserve"> selecionados</w:t>
      </w:r>
      <w:r w:rsidRPr="00F93EDB">
        <w:rPr>
          <w:rFonts w:ascii="Arial" w:hAnsi="Arial" w:cs="Arial"/>
          <w:sz w:val="24"/>
          <w:szCs w:val="24"/>
        </w:rPr>
        <w:t>: inglês</w:t>
      </w:r>
      <w:r w:rsidR="00C10F87">
        <w:rPr>
          <w:rFonts w:ascii="Arial" w:hAnsi="Arial" w:cs="Arial"/>
          <w:sz w:val="24"/>
          <w:szCs w:val="24"/>
        </w:rPr>
        <w:t xml:space="preserve"> e </w:t>
      </w:r>
      <w:r w:rsidRPr="00F93EDB">
        <w:rPr>
          <w:rFonts w:ascii="Arial" w:hAnsi="Arial" w:cs="Arial"/>
          <w:sz w:val="24"/>
          <w:szCs w:val="24"/>
        </w:rPr>
        <w:t>português</w:t>
      </w:r>
      <w:r w:rsidR="00C10F87">
        <w:rPr>
          <w:rFonts w:ascii="Arial" w:hAnsi="Arial" w:cs="Arial"/>
          <w:sz w:val="24"/>
          <w:szCs w:val="24"/>
        </w:rPr>
        <w:t>, f</w:t>
      </w:r>
      <w:r w:rsidRPr="00F93EDB">
        <w:rPr>
          <w:rFonts w:ascii="Arial" w:hAnsi="Arial" w:cs="Arial"/>
          <w:sz w:val="24"/>
          <w:szCs w:val="24"/>
        </w:rPr>
        <w:t>oram excluídos relatos de caso e estudos com amostras inferiores a 30 pacientes.</w:t>
      </w:r>
    </w:p>
    <w:p w14:paraId="2F955FFC" w14:textId="77777777" w:rsidR="00D11FAC" w:rsidRDefault="00D11FAC" w:rsidP="000025D0">
      <w:pPr>
        <w:spacing w:line="360" w:lineRule="auto"/>
        <w:jc w:val="both"/>
        <w:rPr>
          <w:rFonts w:ascii="Arial" w:hAnsi="Arial" w:cs="Arial"/>
          <w:sz w:val="24"/>
          <w:szCs w:val="24"/>
        </w:rPr>
      </w:pPr>
    </w:p>
    <w:p w14:paraId="423EFF42" w14:textId="39B35374" w:rsidR="000025D0" w:rsidRDefault="000025D0" w:rsidP="000025D0">
      <w:pPr>
        <w:spacing w:line="360" w:lineRule="auto"/>
        <w:jc w:val="both"/>
        <w:rPr>
          <w:rFonts w:ascii="Arial" w:hAnsi="Arial" w:cs="Arial"/>
          <w:sz w:val="24"/>
          <w:szCs w:val="24"/>
        </w:rPr>
      </w:pPr>
      <w:r w:rsidRPr="00F93EDB">
        <w:rPr>
          <w:rFonts w:ascii="Arial" w:hAnsi="Arial" w:cs="Arial"/>
          <w:sz w:val="24"/>
          <w:szCs w:val="24"/>
        </w:rPr>
        <w:t>Resultados e Discussão</w:t>
      </w:r>
    </w:p>
    <w:p w14:paraId="67135755" w14:textId="1E8C54BD" w:rsidR="008924C0" w:rsidRDefault="008924C0" w:rsidP="008924C0">
      <w:pPr>
        <w:spacing w:line="360" w:lineRule="auto"/>
        <w:ind w:firstLine="708"/>
        <w:jc w:val="both"/>
        <w:rPr>
          <w:rFonts w:ascii="Arial" w:hAnsi="Arial" w:cs="Arial"/>
          <w:sz w:val="24"/>
          <w:szCs w:val="24"/>
        </w:rPr>
      </w:pPr>
      <w:r w:rsidRPr="008924C0">
        <w:rPr>
          <w:rFonts w:ascii="Arial" w:hAnsi="Arial" w:cs="Arial"/>
          <w:sz w:val="24"/>
          <w:szCs w:val="24"/>
        </w:rPr>
        <w:lastRenderedPageBreak/>
        <w:t xml:space="preserve">A aplicação </w:t>
      </w:r>
      <w:r>
        <w:rPr>
          <w:rFonts w:ascii="Arial" w:hAnsi="Arial" w:cs="Arial"/>
          <w:sz w:val="24"/>
          <w:szCs w:val="24"/>
        </w:rPr>
        <w:t>e</w:t>
      </w:r>
      <w:r w:rsidRPr="008924C0">
        <w:rPr>
          <w:rFonts w:ascii="Arial" w:hAnsi="Arial" w:cs="Arial"/>
          <w:sz w:val="24"/>
          <w:szCs w:val="24"/>
        </w:rPr>
        <w:t xml:space="preserve"> análise d</w:t>
      </w:r>
      <w:r>
        <w:rPr>
          <w:rFonts w:ascii="Arial" w:hAnsi="Arial" w:cs="Arial"/>
          <w:sz w:val="24"/>
          <w:szCs w:val="24"/>
        </w:rPr>
        <w:t>os</w:t>
      </w:r>
      <w:r w:rsidRPr="008924C0">
        <w:rPr>
          <w:rFonts w:ascii="Arial" w:hAnsi="Arial" w:cs="Arial"/>
          <w:sz w:val="24"/>
          <w:szCs w:val="24"/>
        </w:rPr>
        <w:t xml:space="preserve"> conteúdo</w:t>
      </w:r>
      <w:r>
        <w:rPr>
          <w:rFonts w:ascii="Arial" w:hAnsi="Arial" w:cs="Arial"/>
          <w:sz w:val="24"/>
          <w:szCs w:val="24"/>
        </w:rPr>
        <w:t>s</w:t>
      </w:r>
      <w:r w:rsidRPr="008924C0">
        <w:rPr>
          <w:rFonts w:ascii="Arial" w:hAnsi="Arial" w:cs="Arial"/>
          <w:sz w:val="24"/>
          <w:szCs w:val="24"/>
        </w:rPr>
        <w:t xml:space="preserve"> e </w:t>
      </w:r>
      <w:r>
        <w:rPr>
          <w:rFonts w:ascii="Arial" w:hAnsi="Arial" w:cs="Arial"/>
          <w:sz w:val="24"/>
          <w:szCs w:val="24"/>
        </w:rPr>
        <w:t>d</w:t>
      </w:r>
      <w:r w:rsidRPr="008924C0">
        <w:rPr>
          <w:rFonts w:ascii="Arial" w:hAnsi="Arial" w:cs="Arial"/>
          <w:sz w:val="24"/>
          <w:szCs w:val="24"/>
        </w:rPr>
        <w:t>a leitura</w:t>
      </w:r>
      <w:r>
        <w:rPr>
          <w:rFonts w:ascii="Arial" w:hAnsi="Arial" w:cs="Arial"/>
          <w:sz w:val="24"/>
          <w:szCs w:val="24"/>
        </w:rPr>
        <w:t xml:space="preserve"> </w:t>
      </w:r>
      <w:r w:rsidRPr="008924C0">
        <w:rPr>
          <w:rFonts w:ascii="Arial" w:hAnsi="Arial" w:cs="Arial"/>
          <w:sz w:val="24"/>
          <w:szCs w:val="24"/>
        </w:rPr>
        <w:t xml:space="preserve">emergiram </w:t>
      </w:r>
      <w:r>
        <w:rPr>
          <w:rFonts w:ascii="Arial" w:hAnsi="Arial" w:cs="Arial"/>
          <w:sz w:val="24"/>
          <w:szCs w:val="24"/>
        </w:rPr>
        <w:t>cinco</w:t>
      </w:r>
      <w:r w:rsidRPr="008924C0">
        <w:rPr>
          <w:rFonts w:ascii="Arial" w:hAnsi="Arial" w:cs="Arial"/>
          <w:sz w:val="24"/>
          <w:szCs w:val="24"/>
        </w:rPr>
        <w:t xml:space="preserve"> categorias temáticas, conforme apresentada a seguir</w:t>
      </w:r>
      <w:r>
        <w:rPr>
          <w:rFonts w:ascii="Arial" w:hAnsi="Arial" w:cs="Arial"/>
          <w:sz w:val="24"/>
          <w:szCs w:val="24"/>
        </w:rPr>
        <w:t>:</w:t>
      </w:r>
      <w:r w:rsidRPr="008924C0">
        <w:rPr>
          <w:rFonts w:ascii="Arial" w:hAnsi="Arial" w:cs="Arial"/>
          <w:sz w:val="24"/>
          <w:szCs w:val="24"/>
        </w:rPr>
        <w:t xml:space="preserve"> </w:t>
      </w:r>
      <w:r>
        <w:rPr>
          <w:rFonts w:ascii="Arial" w:hAnsi="Arial" w:cs="Arial"/>
          <w:sz w:val="24"/>
          <w:szCs w:val="24"/>
        </w:rPr>
        <w:t xml:space="preserve">I - </w:t>
      </w:r>
      <w:r w:rsidRPr="00F93EDB">
        <w:rPr>
          <w:rFonts w:ascii="Arial" w:hAnsi="Arial" w:cs="Arial"/>
          <w:sz w:val="24"/>
          <w:szCs w:val="24"/>
        </w:rPr>
        <w:t>Tempo de internação</w:t>
      </w:r>
      <w:r>
        <w:rPr>
          <w:rFonts w:ascii="Arial" w:hAnsi="Arial" w:cs="Arial"/>
          <w:sz w:val="24"/>
          <w:szCs w:val="24"/>
        </w:rPr>
        <w:t xml:space="preserve">, II - </w:t>
      </w:r>
      <w:r w:rsidRPr="00F93EDB">
        <w:rPr>
          <w:rFonts w:ascii="Arial" w:hAnsi="Arial" w:cs="Arial"/>
          <w:sz w:val="24"/>
          <w:szCs w:val="24"/>
        </w:rPr>
        <w:t>Dor pós-operatória</w:t>
      </w:r>
      <w:r>
        <w:rPr>
          <w:rFonts w:ascii="Arial" w:hAnsi="Arial" w:cs="Arial"/>
          <w:sz w:val="24"/>
          <w:szCs w:val="24"/>
        </w:rPr>
        <w:t xml:space="preserve">, III - </w:t>
      </w:r>
      <w:r w:rsidRPr="00F93EDB">
        <w:rPr>
          <w:rFonts w:ascii="Arial" w:hAnsi="Arial" w:cs="Arial"/>
          <w:sz w:val="24"/>
          <w:szCs w:val="24"/>
        </w:rPr>
        <w:t>Infecção de sítio cirúrgico</w:t>
      </w:r>
      <w:r>
        <w:rPr>
          <w:rFonts w:ascii="Arial" w:hAnsi="Arial" w:cs="Arial"/>
          <w:sz w:val="24"/>
          <w:szCs w:val="24"/>
        </w:rPr>
        <w:t xml:space="preserve">, IV - </w:t>
      </w:r>
      <w:r w:rsidRPr="00F93EDB">
        <w:rPr>
          <w:rFonts w:ascii="Arial" w:hAnsi="Arial" w:cs="Arial"/>
          <w:sz w:val="24"/>
          <w:szCs w:val="24"/>
        </w:rPr>
        <w:t>Lesão de via biliar</w:t>
      </w:r>
      <w:r>
        <w:rPr>
          <w:rFonts w:ascii="Arial" w:hAnsi="Arial" w:cs="Arial"/>
          <w:sz w:val="24"/>
          <w:szCs w:val="24"/>
        </w:rPr>
        <w:t xml:space="preserve"> e V- </w:t>
      </w:r>
      <w:r w:rsidRPr="00F93EDB">
        <w:rPr>
          <w:rFonts w:ascii="Arial" w:hAnsi="Arial" w:cs="Arial"/>
          <w:sz w:val="24"/>
          <w:szCs w:val="24"/>
        </w:rPr>
        <w:t>Mortalidade e morbidade global</w:t>
      </w:r>
      <w:r>
        <w:rPr>
          <w:rFonts w:ascii="Arial" w:hAnsi="Arial" w:cs="Arial"/>
          <w:sz w:val="24"/>
          <w:szCs w:val="24"/>
        </w:rPr>
        <w:t>.</w:t>
      </w:r>
    </w:p>
    <w:p w14:paraId="12E8FE8A" w14:textId="07FAF79F" w:rsidR="000025D0" w:rsidRPr="00F93EDB" w:rsidRDefault="008924C0" w:rsidP="008924C0">
      <w:pPr>
        <w:spacing w:line="360" w:lineRule="auto"/>
        <w:ind w:firstLine="708"/>
        <w:jc w:val="both"/>
        <w:rPr>
          <w:rFonts w:ascii="Arial" w:hAnsi="Arial" w:cs="Arial"/>
          <w:sz w:val="24"/>
          <w:szCs w:val="24"/>
        </w:rPr>
      </w:pPr>
      <w:r>
        <w:rPr>
          <w:rFonts w:ascii="Arial" w:hAnsi="Arial" w:cs="Arial"/>
          <w:sz w:val="24"/>
          <w:szCs w:val="24"/>
        </w:rPr>
        <w:t xml:space="preserve">Categoria I - </w:t>
      </w:r>
      <w:r w:rsidR="000025D0" w:rsidRPr="00F93EDB">
        <w:rPr>
          <w:rFonts w:ascii="Arial" w:hAnsi="Arial" w:cs="Arial"/>
          <w:sz w:val="24"/>
          <w:szCs w:val="24"/>
        </w:rPr>
        <w:t>Tempo de internação e recuperação funcional</w:t>
      </w:r>
      <w:r>
        <w:rPr>
          <w:rFonts w:ascii="Arial" w:hAnsi="Arial" w:cs="Arial"/>
          <w:sz w:val="24"/>
          <w:szCs w:val="24"/>
        </w:rPr>
        <w:t>: a</w:t>
      </w:r>
      <w:r w:rsidR="000025D0" w:rsidRPr="00F93EDB">
        <w:rPr>
          <w:rFonts w:ascii="Arial" w:hAnsi="Arial" w:cs="Arial"/>
          <w:sz w:val="24"/>
          <w:szCs w:val="24"/>
        </w:rPr>
        <w:t xml:space="preserve"> redução do tempo de permanência hospitalar é um dos desfechos mais consistentes. Revisões sistemáticas demonstram que pacientes submetidos à colecistectomia laparoscópica apresentam alta hospitalar mais precoce (</w:t>
      </w:r>
      <w:r w:rsidR="001B70AF">
        <w:rPr>
          <w:rFonts w:ascii="Arial" w:hAnsi="Arial" w:cs="Arial"/>
          <w:sz w:val="24"/>
          <w:szCs w:val="24"/>
        </w:rPr>
        <w:t>4,6</w:t>
      </w:r>
      <w:r w:rsidR="000025D0" w:rsidRPr="00F93EDB">
        <w:rPr>
          <w:rFonts w:ascii="Arial" w:hAnsi="Arial" w:cs="Arial"/>
          <w:sz w:val="24"/>
          <w:szCs w:val="24"/>
        </w:rPr>
        <w:t>).</w:t>
      </w:r>
      <w:r>
        <w:rPr>
          <w:rFonts w:ascii="Arial" w:hAnsi="Arial" w:cs="Arial"/>
          <w:sz w:val="24"/>
          <w:szCs w:val="24"/>
        </w:rPr>
        <w:t xml:space="preserve"> </w:t>
      </w:r>
      <w:r w:rsidR="000025D0" w:rsidRPr="00F93EDB">
        <w:rPr>
          <w:rFonts w:ascii="Arial" w:hAnsi="Arial" w:cs="Arial"/>
          <w:sz w:val="24"/>
          <w:szCs w:val="24"/>
        </w:rPr>
        <w:t>Roy e Sheikh (</w:t>
      </w:r>
      <w:r w:rsidR="001B70AF">
        <w:rPr>
          <w:rFonts w:ascii="Arial" w:hAnsi="Arial" w:cs="Arial"/>
          <w:sz w:val="24"/>
          <w:szCs w:val="24"/>
        </w:rPr>
        <w:t>12</w:t>
      </w:r>
      <w:r w:rsidR="000025D0" w:rsidRPr="00F93EDB">
        <w:rPr>
          <w:rFonts w:ascii="Arial" w:hAnsi="Arial" w:cs="Arial"/>
          <w:sz w:val="24"/>
          <w:szCs w:val="24"/>
        </w:rPr>
        <w:t>) evidenciaram redução significativa do tempo de internação e retorno mais rápido às atividades laborais. Estudos nacionais confirmam tais achados (</w:t>
      </w:r>
      <w:r w:rsidR="001B70AF">
        <w:rPr>
          <w:rFonts w:ascii="Arial" w:hAnsi="Arial" w:cs="Arial"/>
          <w:sz w:val="24"/>
          <w:szCs w:val="24"/>
        </w:rPr>
        <w:t>10</w:t>
      </w:r>
      <w:r w:rsidR="000025D0" w:rsidRPr="00F93EDB">
        <w:rPr>
          <w:rFonts w:ascii="Arial" w:hAnsi="Arial" w:cs="Arial"/>
          <w:sz w:val="24"/>
          <w:szCs w:val="24"/>
        </w:rPr>
        <w:t>).</w:t>
      </w:r>
    </w:p>
    <w:p w14:paraId="4B33A56B" w14:textId="138CB7D5" w:rsidR="000025D0" w:rsidRPr="00F93EDB" w:rsidRDefault="008924C0" w:rsidP="00F26746">
      <w:pPr>
        <w:spacing w:line="360" w:lineRule="auto"/>
        <w:ind w:firstLine="708"/>
        <w:jc w:val="both"/>
        <w:rPr>
          <w:rFonts w:ascii="Arial" w:hAnsi="Arial" w:cs="Arial"/>
          <w:sz w:val="24"/>
          <w:szCs w:val="24"/>
        </w:rPr>
      </w:pPr>
      <w:r>
        <w:rPr>
          <w:rFonts w:ascii="Arial" w:hAnsi="Arial" w:cs="Arial"/>
          <w:sz w:val="24"/>
          <w:szCs w:val="24"/>
        </w:rPr>
        <w:t xml:space="preserve">Categoria II - </w:t>
      </w:r>
      <w:r w:rsidR="000025D0" w:rsidRPr="00F93EDB">
        <w:rPr>
          <w:rFonts w:ascii="Arial" w:hAnsi="Arial" w:cs="Arial"/>
          <w:sz w:val="24"/>
          <w:szCs w:val="24"/>
        </w:rPr>
        <w:t>Dor pós-operatória</w:t>
      </w:r>
      <w:r>
        <w:rPr>
          <w:rFonts w:ascii="Arial" w:hAnsi="Arial" w:cs="Arial"/>
          <w:sz w:val="24"/>
          <w:szCs w:val="24"/>
        </w:rPr>
        <w:t>: a</w:t>
      </w:r>
      <w:r w:rsidR="000025D0" w:rsidRPr="00F93EDB">
        <w:rPr>
          <w:rFonts w:ascii="Arial" w:hAnsi="Arial" w:cs="Arial"/>
          <w:sz w:val="24"/>
          <w:szCs w:val="24"/>
        </w:rPr>
        <w:t xml:space="preserve"> menor intensidade de dor pós-operatória está associada ao menor trauma tecidual da laparoscopia. </w:t>
      </w:r>
      <w:r w:rsidR="001B70AF">
        <w:rPr>
          <w:rFonts w:ascii="Arial" w:hAnsi="Arial" w:cs="Arial"/>
          <w:sz w:val="24"/>
          <w:szCs w:val="24"/>
        </w:rPr>
        <w:t xml:space="preserve">Estudos </w:t>
      </w:r>
      <w:r w:rsidR="000025D0" w:rsidRPr="00F93EDB">
        <w:rPr>
          <w:rFonts w:ascii="Arial" w:hAnsi="Arial" w:cs="Arial"/>
          <w:sz w:val="24"/>
          <w:szCs w:val="24"/>
        </w:rPr>
        <w:t>demonstraram menor necessidade de analgesia opioide no pós-operatório imediato</w:t>
      </w:r>
      <w:r w:rsidR="001B70AF">
        <w:rPr>
          <w:rFonts w:ascii="Arial" w:hAnsi="Arial" w:cs="Arial"/>
          <w:sz w:val="24"/>
          <w:szCs w:val="24"/>
        </w:rPr>
        <w:t xml:space="preserve"> (13)</w:t>
      </w:r>
      <w:r w:rsidR="000025D0" w:rsidRPr="00F93EDB">
        <w:rPr>
          <w:rFonts w:ascii="Arial" w:hAnsi="Arial" w:cs="Arial"/>
          <w:sz w:val="24"/>
          <w:szCs w:val="24"/>
        </w:rPr>
        <w:t>.</w:t>
      </w:r>
    </w:p>
    <w:p w14:paraId="0639572A" w14:textId="42305297" w:rsidR="000025D0" w:rsidRPr="00F93EDB" w:rsidRDefault="008924C0" w:rsidP="00F26746">
      <w:pPr>
        <w:spacing w:line="360" w:lineRule="auto"/>
        <w:ind w:firstLine="708"/>
        <w:jc w:val="both"/>
        <w:rPr>
          <w:rFonts w:ascii="Arial" w:hAnsi="Arial" w:cs="Arial"/>
          <w:sz w:val="24"/>
          <w:szCs w:val="24"/>
        </w:rPr>
      </w:pPr>
      <w:r>
        <w:rPr>
          <w:rFonts w:ascii="Arial" w:hAnsi="Arial" w:cs="Arial"/>
          <w:sz w:val="24"/>
          <w:szCs w:val="24"/>
        </w:rPr>
        <w:t xml:space="preserve">Categoria III - </w:t>
      </w:r>
      <w:r w:rsidR="000025D0" w:rsidRPr="00F93EDB">
        <w:rPr>
          <w:rFonts w:ascii="Arial" w:hAnsi="Arial" w:cs="Arial"/>
          <w:sz w:val="24"/>
          <w:szCs w:val="24"/>
        </w:rPr>
        <w:t>Infecção de sítio cirúrgico</w:t>
      </w:r>
      <w:r>
        <w:rPr>
          <w:rFonts w:ascii="Arial" w:hAnsi="Arial" w:cs="Arial"/>
          <w:sz w:val="24"/>
          <w:szCs w:val="24"/>
        </w:rPr>
        <w:t>: a</w:t>
      </w:r>
      <w:r w:rsidR="000025D0" w:rsidRPr="00F93EDB">
        <w:rPr>
          <w:rFonts w:ascii="Arial" w:hAnsi="Arial" w:cs="Arial"/>
          <w:sz w:val="24"/>
          <w:szCs w:val="24"/>
        </w:rPr>
        <w:t xml:space="preserve"> taxa de infecção de ferida operatória é significativamente menor na técnica laparoscópica (</w:t>
      </w:r>
      <w:r w:rsidR="001B70AF">
        <w:rPr>
          <w:rFonts w:ascii="Arial" w:hAnsi="Arial" w:cs="Arial"/>
          <w:sz w:val="24"/>
          <w:szCs w:val="24"/>
        </w:rPr>
        <w:t>2,4</w:t>
      </w:r>
      <w:r w:rsidR="000025D0" w:rsidRPr="00F93EDB">
        <w:rPr>
          <w:rFonts w:ascii="Arial" w:hAnsi="Arial" w:cs="Arial"/>
          <w:sz w:val="24"/>
          <w:szCs w:val="24"/>
        </w:rPr>
        <w:t>). Estudos brasileiros também demonstram redução estatisticamente significativa dessa complicação (</w:t>
      </w:r>
      <w:r w:rsidR="001B70AF">
        <w:rPr>
          <w:rFonts w:ascii="Arial" w:hAnsi="Arial" w:cs="Arial"/>
          <w:sz w:val="24"/>
          <w:szCs w:val="24"/>
        </w:rPr>
        <w:t>9,10</w:t>
      </w:r>
      <w:r w:rsidR="000025D0" w:rsidRPr="00F93EDB">
        <w:rPr>
          <w:rFonts w:ascii="Arial" w:hAnsi="Arial" w:cs="Arial"/>
          <w:sz w:val="24"/>
          <w:szCs w:val="24"/>
        </w:rPr>
        <w:t>).</w:t>
      </w:r>
    </w:p>
    <w:p w14:paraId="5CEE030E" w14:textId="101C6EF7" w:rsidR="000025D0" w:rsidRPr="00F93EDB" w:rsidRDefault="008924C0" w:rsidP="00F26746">
      <w:pPr>
        <w:spacing w:line="360" w:lineRule="auto"/>
        <w:ind w:firstLine="708"/>
        <w:jc w:val="both"/>
        <w:rPr>
          <w:rFonts w:ascii="Arial" w:hAnsi="Arial" w:cs="Arial"/>
          <w:sz w:val="24"/>
          <w:szCs w:val="24"/>
        </w:rPr>
      </w:pPr>
      <w:r>
        <w:rPr>
          <w:rFonts w:ascii="Arial" w:hAnsi="Arial" w:cs="Arial"/>
          <w:sz w:val="24"/>
          <w:szCs w:val="24"/>
        </w:rPr>
        <w:t xml:space="preserve">Categoria IV - </w:t>
      </w:r>
      <w:r w:rsidR="000025D0" w:rsidRPr="00F93EDB">
        <w:rPr>
          <w:rFonts w:ascii="Arial" w:hAnsi="Arial" w:cs="Arial"/>
          <w:sz w:val="24"/>
          <w:szCs w:val="24"/>
        </w:rPr>
        <w:t>Lesão de via biliar</w:t>
      </w:r>
      <w:r>
        <w:rPr>
          <w:rFonts w:ascii="Arial" w:hAnsi="Arial" w:cs="Arial"/>
          <w:sz w:val="24"/>
          <w:szCs w:val="24"/>
        </w:rPr>
        <w:t xml:space="preserve">: </w:t>
      </w:r>
      <w:proofErr w:type="spellStart"/>
      <w:r w:rsidR="000025D0" w:rsidRPr="00F93EDB">
        <w:rPr>
          <w:rFonts w:ascii="Arial" w:hAnsi="Arial" w:cs="Arial"/>
          <w:sz w:val="24"/>
          <w:szCs w:val="24"/>
        </w:rPr>
        <w:t>Strasberg</w:t>
      </w:r>
      <w:proofErr w:type="spellEnd"/>
      <w:r w:rsidR="000025D0" w:rsidRPr="00F93EDB">
        <w:rPr>
          <w:rFonts w:ascii="Arial" w:hAnsi="Arial" w:cs="Arial"/>
          <w:sz w:val="24"/>
          <w:szCs w:val="24"/>
        </w:rPr>
        <w:t xml:space="preserve"> (</w:t>
      </w:r>
      <w:r w:rsidR="001B70AF">
        <w:rPr>
          <w:rFonts w:ascii="Arial" w:hAnsi="Arial" w:cs="Arial"/>
          <w:sz w:val="24"/>
          <w:szCs w:val="24"/>
        </w:rPr>
        <w:t>1</w:t>
      </w:r>
      <w:r w:rsidR="000025D0" w:rsidRPr="00F93EDB">
        <w:rPr>
          <w:rFonts w:ascii="Arial" w:hAnsi="Arial" w:cs="Arial"/>
          <w:sz w:val="24"/>
          <w:szCs w:val="24"/>
        </w:rPr>
        <w:t>4) descreve os mecanismos anatômicos envolvidos na lesão biliar e reforça a importância da “visão crítica de segurança”.</w:t>
      </w:r>
      <w:r w:rsidR="00F26746">
        <w:rPr>
          <w:rFonts w:ascii="Arial" w:hAnsi="Arial" w:cs="Arial"/>
          <w:sz w:val="24"/>
          <w:szCs w:val="24"/>
        </w:rPr>
        <w:t xml:space="preserve"> </w:t>
      </w:r>
      <w:r w:rsidR="000025D0" w:rsidRPr="00F93EDB">
        <w:rPr>
          <w:rFonts w:ascii="Arial" w:hAnsi="Arial" w:cs="Arial"/>
          <w:sz w:val="24"/>
          <w:szCs w:val="24"/>
        </w:rPr>
        <w:t>Estudos nacionais indicam que, quando respeitados os princípios técnicos, as taxas tornam-se comparáveis às da cirurgia aberta (</w:t>
      </w:r>
      <w:r w:rsidR="001B70AF">
        <w:rPr>
          <w:rFonts w:ascii="Arial" w:hAnsi="Arial" w:cs="Arial"/>
          <w:sz w:val="24"/>
          <w:szCs w:val="24"/>
        </w:rPr>
        <w:t>8</w:t>
      </w:r>
      <w:r w:rsidR="000025D0" w:rsidRPr="00F93EDB">
        <w:rPr>
          <w:rFonts w:ascii="Arial" w:hAnsi="Arial" w:cs="Arial"/>
          <w:sz w:val="24"/>
          <w:szCs w:val="24"/>
        </w:rPr>
        <w:t>). Machado (</w:t>
      </w:r>
      <w:r w:rsidR="001B70AF">
        <w:rPr>
          <w:rFonts w:ascii="Arial" w:hAnsi="Arial" w:cs="Arial"/>
          <w:sz w:val="24"/>
          <w:szCs w:val="24"/>
        </w:rPr>
        <w:t>7</w:t>
      </w:r>
      <w:r w:rsidR="000025D0" w:rsidRPr="00F93EDB">
        <w:rPr>
          <w:rFonts w:ascii="Arial" w:hAnsi="Arial" w:cs="Arial"/>
          <w:sz w:val="24"/>
          <w:szCs w:val="24"/>
        </w:rPr>
        <w:t>) destaca que experiência cirúrgica é fator determinante.</w:t>
      </w:r>
    </w:p>
    <w:p w14:paraId="1356DE23" w14:textId="56118F65" w:rsidR="000025D0" w:rsidRPr="00F93EDB" w:rsidRDefault="008924C0" w:rsidP="00F26746">
      <w:pPr>
        <w:spacing w:line="360" w:lineRule="auto"/>
        <w:ind w:firstLine="708"/>
        <w:jc w:val="both"/>
        <w:rPr>
          <w:rFonts w:ascii="Arial" w:hAnsi="Arial" w:cs="Arial"/>
          <w:sz w:val="24"/>
          <w:szCs w:val="24"/>
        </w:rPr>
      </w:pPr>
      <w:r>
        <w:rPr>
          <w:rFonts w:ascii="Arial" w:hAnsi="Arial" w:cs="Arial"/>
          <w:sz w:val="24"/>
          <w:szCs w:val="24"/>
        </w:rPr>
        <w:t xml:space="preserve">Categoria V- </w:t>
      </w:r>
      <w:r w:rsidR="000025D0" w:rsidRPr="00F93EDB">
        <w:rPr>
          <w:rFonts w:ascii="Arial" w:hAnsi="Arial" w:cs="Arial"/>
          <w:sz w:val="24"/>
          <w:szCs w:val="24"/>
        </w:rPr>
        <w:t>Mortalidade e morbidade global</w:t>
      </w:r>
      <w:r>
        <w:rPr>
          <w:rFonts w:ascii="Arial" w:hAnsi="Arial" w:cs="Arial"/>
          <w:sz w:val="24"/>
          <w:szCs w:val="24"/>
        </w:rPr>
        <w:t>: a</w:t>
      </w:r>
      <w:r w:rsidR="000025D0" w:rsidRPr="00F93EDB">
        <w:rPr>
          <w:rFonts w:ascii="Arial" w:hAnsi="Arial" w:cs="Arial"/>
          <w:sz w:val="24"/>
          <w:szCs w:val="24"/>
        </w:rPr>
        <w:t xml:space="preserve"> morbidade global mostra-se inferior na abordagem laparoscópica (</w:t>
      </w:r>
      <w:r w:rsidR="001B70AF">
        <w:rPr>
          <w:rFonts w:ascii="Arial" w:hAnsi="Arial" w:cs="Arial"/>
          <w:sz w:val="24"/>
          <w:szCs w:val="24"/>
        </w:rPr>
        <w:t>11,12)</w:t>
      </w:r>
      <w:r w:rsidR="000025D0" w:rsidRPr="00F93EDB">
        <w:rPr>
          <w:rFonts w:ascii="Arial" w:hAnsi="Arial" w:cs="Arial"/>
          <w:sz w:val="24"/>
          <w:szCs w:val="24"/>
        </w:rPr>
        <w:t>. O consenso europeu reforça sua utilização como técnica preferencial inclusive em cenários de inflamação aguda, quando realizada por equipe experiente (1).</w:t>
      </w:r>
    </w:p>
    <w:p w14:paraId="5099DCAA" w14:textId="77777777" w:rsidR="00D11FAC" w:rsidRDefault="00D11FAC" w:rsidP="000025D0">
      <w:pPr>
        <w:spacing w:line="360" w:lineRule="auto"/>
        <w:jc w:val="both"/>
        <w:rPr>
          <w:rFonts w:ascii="Arial" w:hAnsi="Arial" w:cs="Arial"/>
          <w:sz w:val="24"/>
          <w:szCs w:val="24"/>
        </w:rPr>
      </w:pPr>
    </w:p>
    <w:p w14:paraId="06948FCD" w14:textId="3F1CD811" w:rsidR="000025D0" w:rsidRPr="00F93EDB" w:rsidRDefault="000025D0" w:rsidP="000025D0">
      <w:pPr>
        <w:spacing w:line="360" w:lineRule="auto"/>
        <w:jc w:val="both"/>
        <w:rPr>
          <w:rFonts w:ascii="Arial" w:hAnsi="Arial" w:cs="Arial"/>
          <w:sz w:val="24"/>
          <w:szCs w:val="24"/>
        </w:rPr>
      </w:pPr>
      <w:r w:rsidRPr="00F93EDB">
        <w:rPr>
          <w:rFonts w:ascii="Arial" w:hAnsi="Arial" w:cs="Arial"/>
          <w:sz w:val="24"/>
          <w:szCs w:val="24"/>
        </w:rPr>
        <w:t>Conclusão</w:t>
      </w:r>
    </w:p>
    <w:p w14:paraId="67851DB2" w14:textId="77777777" w:rsidR="00F26746" w:rsidRDefault="000025D0" w:rsidP="00F26746">
      <w:pPr>
        <w:spacing w:line="360" w:lineRule="auto"/>
        <w:ind w:firstLine="708"/>
        <w:jc w:val="both"/>
        <w:rPr>
          <w:rFonts w:ascii="Arial" w:hAnsi="Arial" w:cs="Arial"/>
          <w:sz w:val="24"/>
          <w:szCs w:val="24"/>
        </w:rPr>
      </w:pPr>
      <w:r w:rsidRPr="00F93EDB">
        <w:rPr>
          <w:rFonts w:ascii="Arial" w:hAnsi="Arial" w:cs="Arial"/>
          <w:sz w:val="24"/>
          <w:szCs w:val="24"/>
        </w:rPr>
        <w:t xml:space="preserve">A colecistectomia videolaparoscópica apresenta melhores desfechos pós-operatórios quando comparada à técnica aberta, com redução da morbidade, </w:t>
      </w:r>
      <w:r w:rsidRPr="00F93EDB">
        <w:rPr>
          <w:rFonts w:ascii="Arial" w:hAnsi="Arial" w:cs="Arial"/>
          <w:sz w:val="24"/>
          <w:szCs w:val="24"/>
        </w:rPr>
        <w:lastRenderedPageBreak/>
        <w:t>tempo de internação e dor pós-operatória. Mantém perfil de segurança comparável quando realizada com técnica adequada e equipe experiente, consolidando-se como padrão-ouro no tratamento da colelitíase sintomática.</w:t>
      </w:r>
    </w:p>
    <w:p w14:paraId="046507CD" w14:textId="5AC4D817" w:rsidR="00F26746" w:rsidRPr="00F26746" w:rsidRDefault="00F26746" w:rsidP="00F26746">
      <w:pPr>
        <w:spacing w:line="360" w:lineRule="auto"/>
        <w:ind w:firstLine="708"/>
        <w:jc w:val="both"/>
        <w:rPr>
          <w:rFonts w:ascii="Arial" w:hAnsi="Arial" w:cs="Arial"/>
          <w:sz w:val="24"/>
          <w:szCs w:val="24"/>
        </w:rPr>
      </w:pPr>
      <w:r w:rsidRPr="00F26746">
        <w:rPr>
          <w:rFonts w:ascii="Arial" w:hAnsi="Arial" w:cs="Arial"/>
          <w:sz w:val="24"/>
          <w:szCs w:val="24"/>
        </w:rPr>
        <w:t xml:space="preserve">A análise crítica da literatura científica contemporânea demonstra, de forma consistente, que a colecistectomia videolaparoscópica está associada a melhores desfechos pós-operatórios quando comparada à técnica aberta. Observa-se redução significativa do tempo de internação hospitalar, menor intensidade de dor no pós-operatório imediato, diminuição das taxas de infecção de sítio cirúrgico e recuperação funcional mais precoce </w:t>
      </w:r>
      <w:r w:rsidRPr="001B70AF">
        <w:rPr>
          <w:rFonts w:ascii="Arial" w:hAnsi="Arial" w:cs="Arial"/>
          <w:sz w:val="24"/>
          <w:szCs w:val="24"/>
        </w:rPr>
        <w:t>(</w:t>
      </w:r>
      <w:r w:rsidR="001B70AF" w:rsidRPr="001B70AF">
        <w:rPr>
          <w:rFonts w:ascii="Arial" w:hAnsi="Arial" w:cs="Arial"/>
          <w:sz w:val="24"/>
          <w:szCs w:val="24"/>
        </w:rPr>
        <w:t>4,6,10,11</w:t>
      </w:r>
      <w:r w:rsidRPr="00F26746">
        <w:rPr>
          <w:rFonts w:ascii="Arial" w:hAnsi="Arial" w:cs="Arial"/>
          <w:sz w:val="24"/>
          <w:szCs w:val="24"/>
        </w:rPr>
        <w:t>).</w:t>
      </w:r>
    </w:p>
    <w:p w14:paraId="32E8FAB2" w14:textId="5FEF2E24" w:rsidR="00F26746" w:rsidRPr="00F26746" w:rsidRDefault="00F26746" w:rsidP="00F26746">
      <w:pPr>
        <w:spacing w:line="360" w:lineRule="auto"/>
        <w:ind w:firstLine="708"/>
        <w:jc w:val="both"/>
        <w:rPr>
          <w:rFonts w:ascii="Arial" w:hAnsi="Arial" w:cs="Arial"/>
          <w:sz w:val="24"/>
          <w:szCs w:val="24"/>
        </w:rPr>
      </w:pPr>
      <w:r w:rsidRPr="00F26746">
        <w:rPr>
          <w:rFonts w:ascii="Arial" w:hAnsi="Arial" w:cs="Arial"/>
          <w:sz w:val="24"/>
          <w:szCs w:val="24"/>
        </w:rPr>
        <w:t>Embora a lesão de via biliar permaneça como complicação relevante, as evidências indicam que sua incidência é comparável entre as técnicas quando observados rigorosamente os princípios técnicos, especialmente a obtenção da visão crítica de segurança e a adequada experiência do cirurgião (</w:t>
      </w:r>
      <w:r w:rsidR="001B70AF">
        <w:rPr>
          <w:rFonts w:ascii="Arial" w:hAnsi="Arial" w:cs="Arial"/>
          <w:sz w:val="24"/>
          <w:szCs w:val="24"/>
        </w:rPr>
        <w:t>7,8,14</w:t>
      </w:r>
      <w:r w:rsidRPr="00F26746">
        <w:rPr>
          <w:rFonts w:ascii="Arial" w:hAnsi="Arial" w:cs="Arial"/>
          <w:sz w:val="24"/>
          <w:szCs w:val="24"/>
        </w:rPr>
        <w:t>).</w:t>
      </w:r>
    </w:p>
    <w:p w14:paraId="2EE6537C" w14:textId="77777777" w:rsidR="00F26746" w:rsidRPr="00F26746" w:rsidRDefault="00F26746" w:rsidP="00F26746">
      <w:pPr>
        <w:spacing w:line="360" w:lineRule="auto"/>
        <w:ind w:firstLine="708"/>
        <w:jc w:val="both"/>
        <w:rPr>
          <w:rFonts w:ascii="Arial" w:hAnsi="Arial" w:cs="Arial"/>
          <w:sz w:val="24"/>
          <w:szCs w:val="24"/>
        </w:rPr>
      </w:pPr>
      <w:r w:rsidRPr="00F26746">
        <w:rPr>
          <w:rFonts w:ascii="Arial" w:hAnsi="Arial" w:cs="Arial"/>
          <w:sz w:val="24"/>
          <w:szCs w:val="24"/>
        </w:rPr>
        <w:t>Além dos benefícios clínicos individuais, a abordagem minimamente invasiva apresenta impacto positivo em termos de custos indiretos, redução do tempo de afastamento laboral e otimização da rotatividade hospitalar, contribuindo para maior eficiência dos sistemas de saúde.</w:t>
      </w:r>
    </w:p>
    <w:p w14:paraId="551D8733" w14:textId="77777777" w:rsidR="00F26746" w:rsidRPr="00F26746" w:rsidRDefault="00F26746" w:rsidP="00F26746">
      <w:pPr>
        <w:spacing w:line="360" w:lineRule="auto"/>
        <w:ind w:firstLine="708"/>
        <w:jc w:val="both"/>
        <w:rPr>
          <w:rFonts w:ascii="Arial" w:hAnsi="Arial" w:cs="Arial"/>
          <w:sz w:val="24"/>
          <w:szCs w:val="24"/>
        </w:rPr>
      </w:pPr>
      <w:r w:rsidRPr="00F26746">
        <w:rPr>
          <w:rFonts w:ascii="Arial" w:hAnsi="Arial" w:cs="Arial"/>
          <w:sz w:val="24"/>
          <w:szCs w:val="24"/>
        </w:rPr>
        <w:t>Entretanto, ressalta-se que a conversão para laparotomia deve ser interpretada como medida de segurança e não como falha técnica, sendo indicada em situações de inflamação avançada, distorção anatômica ou instabilidade clínica.</w:t>
      </w:r>
    </w:p>
    <w:p w14:paraId="449855C3" w14:textId="68D8907B" w:rsidR="00F26746" w:rsidRPr="00F93EDB" w:rsidRDefault="00F26746" w:rsidP="00F26746">
      <w:pPr>
        <w:spacing w:line="360" w:lineRule="auto"/>
        <w:ind w:firstLine="708"/>
        <w:jc w:val="both"/>
        <w:rPr>
          <w:rFonts w:ascii="Arial" w:hAnsi="Arial" w:cs="Arial"/>
          <w:sz w:val="24"/>
          <w:szCs w:val="24"/>
        </w:rPr>
      </w:pPr>
      <w:r w:rsidRPr="00F26746">
        <w:rPr>
          <w:rFonts w:ascii="Arial" w:hAnsi="Arial" w:cs="Arial"/>
          <w:sz w:val="24"/>
          <w:szCs w:val="24"/>
        </w:rPr>
        <w:t>Dessa forma, à luz das evidências atuais, a colecistectomia videolaparoscópica mantém-se como padrão-ouro no tratamento da colelitíase sintomática e da maioria dos casos de colecistite aguda, desde que realizada por equipe devidamente treinada e em ambiente com suporte adequado. Estudos futuros com delineamento prospectivo multicêntrico poderão contribuir para aprofundar a avaliação de desfechos em subgrupos específicos e complicações raras</w:t>
      </w:r>
    </w:p>
    <w:p w14:paraId="6D7F1385" w14:textId="77777777" w:rsidR="00D11FAC" w:rsidRDefault="00D11FAC" w:rsidP="000025D0">
      <w:pPr>
        <w:spacing w:line="360" w:lineRule="auto"/>
        <w:jc w:val="both"/>
        <w:rPr>
          <w:rFonts w:ascii="Arial" w:hAnsi="Arial" w:cs="Arial"/>
          <w:sz w:val="24"/>
          <w:szCs w:val="24"/>
        </w:rPr>
      </w:pPr>
    </w:p>
    <w:p w14:paraId="779CE497" w14:textId="742FEC09" w:rsidR="000025D0" w:rsidRDefault="000025D0" w:rsidP="000025D0">
      <w:pPr>
        <w:spacing w:line="360" w:lineRule="auto"/>
        <w:jc w:val="both"/>
        <w:rPr>
          <w:rFonts w:ascii="Arial" w:hAnsi="Arial" w:cs="Arial"/>
          <w:sz w:val="24"/>
          <w:szCs w:val="24"/>
        </w:rPr>
      </w:pPr>
      <w:r w:rsidRPr="00F93EDB">
        <w:rPr>
          <w:rFonts w:ascii="Arial" w:hAnsi="Arial" w:cs="Arial"/>
          <w:sz w:val="24"/>
          <w:szCs w:val="24"/>
        </w:rPr>
        <w:t xml:space="preserve">Referências </w:t>
      </w:r>
    </w:p>
    <w:p w14:paraId="2ADF5097" w14:textId="35FC4749"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lang w:val="en-US"/>
        </w:rPr>
        <w:lastRenderedPageBreak/>
        <w:t xml:space="preserve">AGRESTA F, CAMPANILE FC, VETTORETTO N, et al. </w:t>
      </w:r>
      <w:r w:rsidRPr="00817E63">
        <w:rPr>
          <w:rFonts w:ascii="Arial" w:hAnsi="Arial" w:cs="Arial"/>
          <w:b/>
          <w:bCs/>
          <w:sz w:val="24"/>
          <w:szCs w:val="24"/>
          <w:lang w:val="en-US"/>
        </w:rPr>
        <w:t>EAES consensus statement</w:t>
      </w:r>
      <w:r w:rsidRPr="00817E63">
        <w:rPr>
          <w:rFonts w:ascii="Arial" w:hAnsi="Arial" w:cs="Arial"/>
          <w:sz w:val="24"/>
          <w:szCs w:val="24"/>
          <w:lang w:val="en-US"/>
        </w:rPr>
        <w:t xml:space="preserve">. </w:t>
      </w:r>
      <w:proofErr w:type="spellStart"/>
      <w:r w:rsidRPr="00817E63">
        <w:rPr>
          <w:rFonts w:ascii="Arial" w:hAnsi="Arial" w:cs="Arial"/>
          <w:sz w:val="24"/>
          <w:szCs w:val="24"/>
        </w:rPr>
        <w:t>Surg</w:t>
      </w:r>
      <w:proofErr w:type="spellEnd"/>
      <w:r w:rsidRPr="00817E63">
        <w:rPr>
          <w:rFonts w:ascii="Arial" w:hAnsi="Arial" w:cs="Arial"/>
          <w:sz w:val="24"/>
          <w:szCs w:val="24"/>
        </w:rPr>
        <w:t xml:space="preserve"> </w:t>
      </w:r>
      <w:proofErr w:type="spellStart"/>
      <w:r w:rsidRPr="00817E63">
        <w:rPr>
          <w:rFonts w:ascii="Arial" w:hAnsi="Arial" w:cs="Arial"/>
          <w:sz w:val="24"/>
          <w:szCs w:val="24"/>
        </w:rPr>
        <w:t>Endosc</w:t>
      </w:r>
      <w:proofErr w:type="spellEnd"/>
      <w:r w:rsidRPr="00817E63">
        <w:rPr>
          <w:rFonts w:ascii="Arial" w:hAnsi="Arial" w:cs="Arial"/>
          <w:sz w:val="24"/>
          <w:szCs w:val="24"/>
        </w:rPr>
        <w:t>. 2012;26(8):2134-2146.</w:t>
      </w:r>
    </w:p>
    <w:p w14:paraId="1C86F4A1" w14:textId="77777777"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lang w:val="en-US"/>
        </w:rPr>
        <w:t xml:space="preserve">Boni L, Benevento A, Rovera F, et al. </w:t>
      </w:r>
      <w:r w:rsidRPr="00817E63">
        <w:rPr>
          <w:rFonts w:ascii="Arial" w:hAnsi="Arial" w:cs="Arial"/>
          <w:b/>
          <w:bCs/>
          <w:sz w:val="24"/>
          <w:szCs w:val="24"/>
          <w:lang w:val="en-US"/>
        </w:rPr>
        <w:t>Infective complications in laparoscopic surgery</w:t>
      </w:r>
      <w:r w:rsidRPr="00817E63">
        <w:rPr>
          <w:rFonts w:ascii="Arial" w:hAnsi="Arial" w:cs="Arial"/>
          <w:sz w:val="24"/>
          <w:szCs w:val="24"/>
          <w:lang w:val="en-US"/>
        </w:rPr>
        <w:t xml:space="preserve">. </w:t>
      </w:r>
      <w:proofErr w:type="spellStart"/>
      <w:r w:rsidRPr="00817E63">
        <w:rPr>
          <w:rFonts w:ascii="Arial" w:hAnsi="Arial" w:cs="Arial"/>
          <w:sz w:val="24"/>
          <w:szCs w:val="24"/>
        </w:rPr>
        <w:t>Surg</w:t>
      </w:r>
      <w:proofErr w:type="spellEnd"/>
      <w:r w:rsidRPr="00817E63">
        <w:rPr>
          <w:rFonts w:ascii="Arial" w:hAnsi="Arial" w:cs="Arial"/>
          <w:sz w:val="24"/>
          <w:szCs w:val="24"/>
        </w:rPr>
        <w:t xml:space="preserve"> </w:t>
      </w:r>
      <w:proofErr w:type="spellStart"/>
      <w:r w:rsidRPr="00817E63">
        <w:rPr>
          <w:rFonts w:ascii="Arial" w:hAnsi="Arial" w:cs="Arial"/>
          <w:sz w:val="24"/>
          <w:szCs w:val="24"/>
        </w:rPr>
        <w:t>Infect</w:t>
      </w:r>
      <w:proofErr w:type="spellEnd"/>
      <w:r w:rsidRPr="00817E63">
        <w:rPr>
          <w:rFonts w:ascii="Arial" w:hAnsi="Arial" w:cs="Arial"/>
          <w:sz w:val="24"/>
          <w:szCs w:val="24"/>
        </w:rPr>
        <w:t>. 2006;7(Suppl 2):S109-11.</w:t>
      </w:r>
    </w:p>
    <w:p w14:paraId="27736D03" w14:textId="77777777"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rPr>
        <w:t xml:space="preserve">CARVALHO GL, LOUREIRO MP, BONIN EA. </w:t>
      </w:r>
      <w:r w:rsidRPr="00817E63">
        <w:rPr>
          <w:rFonts w:ascii="Arial" w:hAnsi="Arial" w:cs="Arial"/>
          <w:b/>
          <w:bCs/>
          <w:sz w:val="24"/>
          <w:szCs w:val="24"/>
        </w:rPr>
        <w:t>Impacto da videolaparoscopia no Brasil</w:t>
      </w:r>
      <w:r w:rsidRPr="00817E63">
        <w:rPr>
          <w:rFonts w:ascii="Arial" w:hAnsi="Arial" w:cs="Arial"/>
          <w:sz w:val="24"/>
          <w:szCs w:val="24"/>
        </w:rPr>
        <w:t xml:space="preserve">. ABCD </w:t>
      </w:r>
      <w:proofErr w:type="spellStart"/>
      <w:r w:rsidRPr="00817E63">
        <w:rPr>
          <w:rFonts w:ascii="Arial" w:hAnsi="Arial" w:cs="Arial"/>
          <w:sz w:val="24"/>
          <w:szCs w:val="24"/>
        </w:rPr>
        <w:t>Arq</w:t>
      </w:r>
      <w:proofErr w:type="spellEnd"/>
      <w:r w:rsidRPr="00817E63">
        <w:rPr>
          <w:rFonts w:ascii="Arial" w:hAnsi="Arial" w:cs="Arial"/>
          <w:sz w:val="24"/>
          <w:szCs w:val="24"/>
        </w:rPr>
        <w:t xml:space="preserve"> </w:t>
      </w:r>
      <w:proofErr w:type="spellStart"/>
      <w:r w:rsidRPr="00817E63">
        <w:rPr>
          <w:rFonts w:ascii="Arial" w:hAnsi="Arial" w:cs="Arial"/>
          <w:sz w:val="24"/>
          <w:szCs w:val="24"/>
        </w:rPr>
        <w:t>Bras</w:t>
      </w:r>
      <w:proofErr w:type="spellEnd"/>
      <w:r w:rsidRPr="00817E63">
        <w:rPr>
          <w:rFonts w:ascii="Arial" w:hAnsi="Arial" w:cs="Arial"/>
          <w:sz w:val="24"/>
          <w:szCs w:val="24"/>
        </w:rPr>
        <w:t xml:space="preserve"> </w:t>
      </w:r>
      <w:proofErr w:type="spellStart"/>
      <w:r w:rsidRPr="00817E63">
        <w:rPr>
          <w:rFonts w:ascii="Arial" w:hAnsi="Arial" w:cs="Arial"/>
          <w:sz w:val="24"/>
          <w:szCs w:val="24"/>
        </w:rPr>
        <w:t>Cir</w:t>
      </w:r>
      <w:proofErr w:type="spellEnd"/>
      <w:r w:rsidRPr="00817E63">
        <w:rPr>
          <w:rFonts w:ascii="Arial" w:hAnsi="Arial" w:cs="Arial"/>
          <w:sz w:val="24"/>
          <w:szCs w:val="24"/>
        </w:rPr>
        <w:t xml:space="preserve"> Dig. 2016;29(4):231-234.</w:t>
      </w:r>
    </w:p>
    <w:p w14:paraId="05FEC2E3" w14:textId="77777777"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rPr>
        <w:t xml:space="preserve">COCCOLINI F, CATENA F, PISANO M, et al. </w:t>
      </w:r>
      <w:r w:rsidRPr="00817E63">
        <w:rPr>
          <w:rFonts w:ascii="Arial" w:hAnsi="Arial" w:cs="Arial"/>
          <w:b/>
          <w:bCs/>
          <w:sz w:val="24"/>
          <w:szCs w:val="24"/>
          <w:lang w:val="en-US"/>
        </w:rPr>
        <w:t>Open versus laparoscopic cholecystectomy in acute cholecystitis</w:t>
      </w:r>
      <w:r w:rsidRPr="00817E63">
        <w:rPr>
          <w:rFonts w:ascii="Arial" w:hAnsi="Arial" w:cs="Arial"/>
          <w:sz w:val="24"/>
          <w:szCs w:val="24"/>
          <w:lang w:val="en-US"/>
        </w:rPr>
        <w:t xml:space="preserve">. World J Emerg Surg. </w:t>
      </w:r>
      <w:proofErr w:type="gramStart"/>
      <w:r w:rsidRPr="00817E63">
        <w:rPr>
          <w:rFonts w:ascii="Arial" w:hAnsi="Arial" w:cs="Arial"/>
          <w:sz w:val="24"/>
          <w:szCs w:val="24"/>
          <w:lang w:val="en-US"/>
        </w:rPr>
        <w:t>2015;10:10</w:t>
      </w:r>
      <w:proofErr w:type="gramEnd"/>
      <w:r w:rsidRPr="00817E63">
        <w:rPr>
          <w:rFonts w:ascii="Arial" w:hAnsi="Arial" w:cs="Arial"/>
          <w:sz w:val="24"/>
          <w:szCs w:val="24"/>
          <w:lang w:val="en-US"/>
        </w:rPr>
        <w:t>.</w:t>
      </w:r>
    </w:p>
    <w:p w14:paraId="56ED6131" w14:textId="77777777"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rPr>
        <w:t xml:space="preserve">GOMES CA, JUNIOR CS, Di SAVEIRO S, et al. </w:t>
      </w:r>
      <w:r w:rsidRPr="00817E63">
        <w:rPr>
          <w:rFonts w:ascii="Arial" w:hAnsi="Arial" w:cs="Arial"/>
          <w:b/>
          <w:bCs/>
          <w:sz w:val="24"/>
          <w:szCs w:val="24"/>
          <w:lang w:val="en-US"/>
        </w:rPr>
        <w:t>Acute calculous cholecystitis: best practices</w:t>
      </w:r>
      <w:r w:rsidRPr="00817E63">
        <w:rPr>
          <w:rFonts w:ascii="Arial" w:hAnsi="Arial" w:cs="Arial"/>
          <w:sz w:val="24"/>
          <w:szCs w:val="24"/>
          <w:lang w:val="en-US"/>
        </w:rPr>
        <w:t>. Rev Col Bras Cir. 2017;44(4):410-419.</w:t>
      </w:r>
    </w:p>
    <w:p w14:paraId="61B91156" w14:textId="7DFDE513"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lang w:val="en-US"/>
        </w:rPr>
        <w:t xml:space="preserve">KEUS F, de JONG JA, GOOSZEN HG, van LAARHOVEN CJ. </w:t>
      </w:r>
      <w:r w:rsidRPr="00817E63">
        <w:rPr>
          <w:rFonts w:ascii="Arial" w:hAnsi="Arial" w:cs="Arial"/>
          <w:b/>
          <w:bCs/>
          <w:sz w:val="24"/>
          <w:szCs w:val="24"/>
          <w:lang w:val="en-US"/>
        </w:rPr>
        <w:t>Laparoscopic versus open cholecystectomy.</w:t>
      </w:r>
      <w:r w:rsidRPr="00817E63">
        <w:rPr>
          <w:rFonts w:ascii="Arial" w:hAnsi="Arial" w:cs="Arial"/>
          <w:sz w:val="24"/>
          <w:szCs w:val="24"/>
          <w:lang w:val="en-US"/>
        </w:rPr>
        <w:t xml:space="preserve"> Cochrane Database Syst Rev. 2010;(1):CD006231.</w:t>
      </w:r>
    </w:p>
    <w:p w14:paraId="32D3BA07" w14:textId="77777777"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lang w:val="en-US"/>
        </w:rPr>
        <w:t xml:space="preserve">MACHADO NO. </w:t>
      </w:r>
      <w:r w:rsidRPr="00817E63">
        <w:rPr>
          <w:rFonts w:ascii="Arial" w:hAnsi="Arial" w:cs="Arial"/>
          <w:b/>
          <w:bCs/>
          <w:sz w:val="24"/>
          <w:szCs w:val="24"/>
          <w:lang w:val="en-US"/>
        </w:rPr>
        <w:t>Bile duct injury during laparoscopic cholecystectomy</w:t>
      </w:r>
      <w:r w:rsidRPr="00817E63">
        <w:rPr>
          <w:rFonts w:ascii="Arial" w:hAnsi="Arial" w:cs="Arial"/>
          <w:sz w:val="24"/>
          <w:szCs w:val="24"/>
          <w:lang w:val="en-US"/>
        </w:rPr>
        <w:t xml:space="preserve">. </w:t>
      </w:r>
      <w:r w:rsidRPr="00817E63">
        <w:rPr>
          <w:rFonts w:ascii="Arial" w:hAnsi="Arial" w:cs="Arial"/>
          <w:sz w:val="24"/>
          <w:szCs w:val="24"/>
        </w:rPr>
        <w:t xml:space="preserve">World J </w:t>
      </w:r>
      <w:proofErr w:type="spellStart"/>
      <w:r w:rsidRPr="00817E63">
        <w:rPr>
          <w:rFonts w:ascii="Arial" w:hAnsi="Arial" w:cs="Arial"/>
          <w:sz w:val="24"/>
          <w:szCs w:val="24"/>
        </w:rPr>
        <w:t>Gastrointest</w:t>
      </w:r>
      <w:proofErr w:type="spellEnd"/>
      <w:r w:rsidRPr="00817E63">
        <w:rPr>
          <w:rFonts w:ascii="Arial" w:hAnsi="Arial" w:cs="Arial"/>
          <w:sz w:val="24"/>
          <w:szCs w:val="24"/>
        </w:rPr>
        <w:t xml:space="preserve"> </w:t>
      </w:r>
      <w:proofErr w:type="spellStart"/>
      <w:r w:rsidRPr="00817E63">
        <w:rPr>
          <w:rFonts w:ascii="Arial" w:hAnsi="Arial" w:cs="Arial"/>
          <w:sz w:val="24"/>
          <w:szCs w:val="24"/>
        </w:rPr>
        <w:t>Surg</w:t>
      </w:r>
      <w:proofErr w:type="spellEnd"/>
      <w:r w:rsidRPr="00817E63">
        <w:rPr>
          <w:rFonts w:ascii="Arial" w:hAnsi="Arial" w:cs="Arial"/>
          <w:sz w:val="24"/>
          <w:szCs w:val="24"/>
        </w:rPr>
        <w:t>. 2016;8(9):637-645.</w:t>
      </w:r>
    </w:p>
    <w:p w14:paraId="720C96A7" w14:textId="77777777"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rPr>
        <w:t xml:space="preserve">NOGUEIRA L, COELHO JCU, CLAUS CMP. </w:t>
      </w:r>
      <w:r w:rsidRPr="00817E63">
        <w:rPr>
          <w:rFonts w:ascii="Arial" w:hAnsi="Arial" w:cs="Arial"/>
          <w:b/>
          <w:bCs/>
          <w:sz w:val="24"/>
          <w:szCs w:val="24"/>
        </w:rPr>
        <w:t>Lesão de via biliar</w:t>
      </w:r>
      <w:r w:rsidRPr="00817E63">
        <w:rPr>
          <w:rFonts w:ascii="Arial" w:hAnsi="Arial" w:cs="Arial"/>
          <w:sz w:val="24"/>
          <w:szCs w:val="24"/>
        </w:rPr>
        <w:t xml:space="preserve">. Rev </w:t>
      </w:r>
      <w:proofErr w:type="spellStart"/>
      <w:r w:rsidRPr="00817E63">
        <w:rPr>
          <w:rFonts w:ascii="Arial" w:hAnsi="Arial" w:cs="Arial"/>
          <w:sz w:val="24"/>
          <w:szCs w:val="24"/>
        </w:rPr>
        <w:t>Col</w:t>
      </w:r>
      <w:proofErr w:type="spellEnd"/>
      <w:r w:rsidRPr="00817E63">
        <w:rPr>
          <w:rFonts w:ascii="Arial" w:hAnsi="Arial" w:cs="Arial"/>
          <w:sz w:val="24"/>
          <w:szCs w:val="24"/>
        </w:rPr>
        <w:t xml:space="preserve"> </w:t>
      </w:r>
      <w:proofErr w:type="spellStart"/>
      <w:r w:rsidRPr="00817E63">
        <w:rPr>
          <w:rFonts w:ascii="Arial" w:hAnsi="Arial" w:cs="Arial"/>
          <w:sz w:val="24"/>
          <w:szCs w:val="24"/>
        </w:rPr>
        <w:t>Bras</w:t>
      </w:r>
      <w:proofErr w:type="spellEnd"/>
      <w:r w:rsidRPr="00817E63">
        <w:rPr>
          <w:rFonts w:ascii="Arial" w:hAnsi="Arial" w:cs="Arial"/>
          <w:sz w:val="24"/>
          <w:szCs w:val="24"/>
        </w:rPr>
        <w:t xml:space="preserve"> Cir. 2019;46(5):e20192216.</w:t>
      </w:r>
    </w:p>
    <w:p w14:paraId="04F00CBE" w14:textId="77777777"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rPr>
        <w:t xml:space="preserve">PINHEIRO RS, MACHADO MA, BACCHELLA T. </w:t>
      </w:r>
      <w:r w:rsidRPr="00817E63">
        <w:rPr>
          <w:rFonts w:ascii="Arial" w:hAnsi="Arial" w:cs="Arial"/>
          <w:b/>
          <w:bCs/>
          <w:sz w:val="24"/>
          <w:szCs w:val="24"/>
        </w:rPr>
        <w:t>Complicações da colecistectomia laparoscópica</w:t>
      </w:r>
      <w:r w:rsidRPr="00817E63">
        <w:rPr>
          <w:rFonts w:ascii="Arial" w:hAnsi="Arial" w:cs="Arial"/>
          <w:sz w:val="24"/>
          <w:szCs w:val="24"/>
        </w:rPr>
        <w:t xml:space="preserve">. </w:t>
      </w:r>
      <w:proofErr w:type="spellStart"/>
      <w:r w:rsidRPr="00817E63">
        <w:rPr>
          <w:rFonts w:ascii="Arial" w:hAnsi="Arial" w:cs="Arial"/>
          <w:sz w:val="24"/>
          <w:szCs w:val="24"/>
        </w:rPr>
        <w:t>Arq</w:t>
      </w:r>
      <w:proofErr w:type="spellEnd"/>
      <w:r w:rsidRPr="00817E63">
        <w:rPr>
          <w:rFonts w:ascii="Arial" w:hAnsi="Arial" w:cs="Arial"/>
          <w:sz w:val="24"/>
          <w:szCs w:val="24"/>
        </w:rPr>
        <w:t xml:space="preserve"> </w:t>
      </w:r>
      <w:proofErr w:type="spellStart"/>
      <w:r w:rsidRPr="00817E63">
        <w:rPr>
          <w:rFonts w:ascii="Arial" w:hAnsi="Arial" w:cs="Arial"/>
          <w:sz w:val="24"/>
          <w:szCs w:val="24"/>
        </w:rPr>
        <w:t>Gastroenterol</w:t>
      </w:r>
      <w:proofErr w:type="spellEnd"/>
      <w:r w:rsidRPr="00817E63">
        <w:rPr>
          <w:rFonts w:ascii="Arial" w:hAnsi="Arial" w:cs="Arial"/>
          <w:sz w:val="24"/>
          <w:szCs w:val="24"/>
        </w:rPr>
        <w:t>. 2014;51(3):199-203.</w:t>
      </w:r>
    </w:p>
    <w:p w14:paraId="7F414920" w14:textId="55052D09" w:rsidR="00817E63" w:rsidRPr="00817E63" w:rsidRDefault="00817E63" w:rsidP="00817E63">
      <w:pPr>
        <w:pStyle w:val="PargrafodaLista"/>
        <w:numPr>
          <w:ilvl w:val="0"/>
          <w:numId w:val="15"/>
        </w:numPr>
        <w:spacing w:line="360" w:lineRule="auto"/>
        <w:jc w:val="both"/>
        <w:rPr>
          <w:rFonts w:ascii="Arial" w:hAnsi="Arial" w:cs="Arial"/>
          <w:sz w:val="24"/>
          <w:szCs w:val="24"/>
        </w:rPr>
      </w:pPr>
      <w:r w:rsidRPr="00817E63">
        <w:rPr>
          <w:rFonts w:ascii="Arial" w:hAnsi="Arial" w:cs="Arial"/>
          <w:sz w:val="24"/>
          <w:szCs w:val="24"/>
        </w:rPr>
        <w:t xml:space="preserve">ROCHA LC, QUEIROZ FL, LEMOS C, Reis JA. </w:t>
      </w:r>
      <w:r w:rsidRPr="00817E63">
        <w:rPr>
          <w:rFonts w:ascii="Arial" w:hAnsi="Arial" w:cs="Arial"/>
          <w:b/>
          <w:bCs/>
          <w:sz w:val="24"/>
          <w:szCs w:val="24"/>
        </w:rPr>
        <w:t>Colecistectomia videolaparoscópica versus aberta</w:t>
      </w:r>
      <w:r w:rsidRPr="00817E63">
        <w:rPr>
          <w:rFonts w:ascii="Arial" w:hAnsi="Arial" w:cs="Arial"/>
          <w:sz w:val="24"/>
          <w:szCs w:val="24"/>
        </w:rPr>
        <w:t xml:space="preserve">. Rev </w:t>
      </w:r>
      <w:proofErr w:type="spellStart"/>
      <w:r w:rsidRPr="00817E63">
        <w:rPr>
          <w:rFonts w:ascii="Arial" w:hAnsi="Arial" w:cs="Arial"/>
          <w:sz w:val="24"/>
          <w:szCs w:val="24"/>
        </w:rPr>
        <w:t>Col</w:t>
      </w:r>
      <w:proofErr w:type="spellEnd"/>
      <w:r w:rsidRPr="00817E63">
        <w:rPr>
          <w:rFonts w:ascii="Arial" w:hAnsi="Arial" w:cs="Arial"/>
          <w:sz w:val="24"/>
          <w:szCs w:val="24"/>
        </w:rPr>
        <w:t xml:space="preserve"> </w:t>
      </w:r>
      <w:proofErr w:type="spellStart"/>
      <w:r w:rsidRPr="00817E63">
        <w:rPr>
          <w:rFonts w:ascii="Arial" w:hAnsi="Arial" w:cs="Arial"/>
          <w:sz w:val="24"/>
          <w:szCs w:val="24"/>
        </w:rPr>
        <w:t>Bras</w:t>
      </w:r>
      <w:proofErr w:type="spellEnd"/>
      <w:r w:rsidRPr="00817E63">
        <w:rPr>
          <w:rFonts w:ascii="Arial" w:hAnsi="Arial" w:cs="Arial"/>
          <w:sz w:val="24"/>
          <w:szCs w:val="24"/>
        </w:rPr>
        <w:t xml:space="preserve"> Cir. 2018;45(3):e1803.</w:t>
      </w:r>
    </w:p>
    <w:p w14:paraId="04852FE0" w14:textId="77777777"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lang w:val="en-US"/>
        </w:rPr>
        <w:t xml:space="preserve">Roy DK, Sheikh R. </w:t>
      </w:r>
      <w:r w:rsidRPr="00817E63">
        <w:rPr>
          <w:rFonts w:ascii="Arial" w:hAnsi="Arial" w:cs="Arial"/>
          <w:b/>
          <w:bCs/>
          <w:sz w:val="24"/>
          <w:szCs w:val="24"/>
          <w:lang w:val="en-US"/>
        </w:rPr>
        <w:t>Outcomes of laparoscopic versus open cholecystectomy</w:t>
      </w:r>
      <w:r w:rsidRPr="00817E63">
        <w:rPr>
          <w:rFonts w:ascii="Arial" w:hAnsi="Arial" w:cs="Arial"/>
          <w:sz w:val="24"/>
          <w:szCs w:val="24"/>
          <w:lang w:val="en-US"/>
        </w:rPr>
        <w:t>. Avicenna J Med. 2024;14(1):3-21.</w:t>
      </w:r>
    </w:p>
    <w:p w14:paraId="1F63F1E7" w14:textId="77777777"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lang w:val="en-US"/>
        </w:rPr>
        <w:t xml:space="preserve">SHEA JA, Healey MJ, BERLIN JA, et al. </w:t>
      </w:r>
      <w:r w:rsidRPr="00817E63">
        <w:rPr>
          <w:rFonts w:ascii="Arial" w:hAnsi="Arial" w:cs="Arial"/>
          <w:b/>
          <w:bCs/>
          <w:sz w:val="24"/>
          <w:szCs w:val="24"/>
          <w:lang w:val="en-US"/>
        </w:rPr>
        <w:t>Mortality and complications in laparoscopic cholecystectomy.</w:t>
      </w:r>
      <w:r w:rsidRPr="00817E63">
        <w:rPr>
          <w:rFonts w:ascii="Arial" w:hAnsi="Arial" w:cs="Arial"/>
          <w:sz w:val="24"/>
          <w:szCs w:val="24"/>
          <w:lang w:val="en-US"/>
        </w:rPr>
        <w:t xml:space="preserve"> Ann Surg. 1996;224(5):609-620.</w:t>
      </w:r>
    </w:p>
    <w:p w14:paraId="565EBD4D" w14:textId="77777777"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lang w:val="en-US"/>
        </w:rPr>
        <w:t xml:space="preserve">SIDDIQUI T, MACDONALD A, CHONG PS, JENKINS JT. </w:t>
      </w:r>
      <w:r w:rsidRPr="00817E63">
        <w:rPr>
          <w:rFonts w:ascii="Arial" w:hAnsi="Arial" w:cs="Arial"/>
          <w:b/>
          <w:bCs/>
          <w:sz w:val="24"/>
          <w:szCs w:val="24"/>
          <w:lang w:val="en-US"/>
        </w:rPr>
        <w:t>Meta-analysis of laparoscopic versus open cholecystectomy</w:t>
      </w:r>
      <w:r w:rsidRPr="00817E63">
        <w:rPr>
          <w:rFonts w:ascii="Arial" w:hAnsi="Arial" w:cs="Arial"/>
          <w:sz w:val="24"/>
          <w:szCs w:val="24"/>
          <w:lang w:val="en-US"/>
        </w:rPr>
        <w:t>. Am J Surg. 2008;195(1):40-47.</w:t>
      </w:r>
    </w:p>
    <w:p w14:paraId="15211B50" w14:textId="77777777" w:rsidR="00817E63" w:rsidRPr="00817E63" w:rsidRDefault="00817E63" w:rsidP="00817E63">
      <w:pPr>
        <w:pStyle w:val="PargrafodaLista"/>
        <w:numPr>
          <w:ilvl w:val="0"/>
          <w:numId w:val="15"/>
        </w:numPr>
        <w:spacing w:line="360" w:lineRule="auto"/>
        <w:jc w:val="both"/>
        <w:rPr>
          <w:rFonts w:ascii="Arial" w:hAnsi="Arial" w:cs="Arial"/>
          <w:sz w:val="24"/>
          <w:szCs w:val="24"/>
          <w:lang w:val="en-US"/>
        </w:rPr>
      </w:pPr>
      <w:r w:rsidRPr="00817E63">
        <w:rPr>
          <w:rFonts w:ascii="Arial" w:hAnsi="Arial" w:cs="Arial"/>
          <w:sz w:val="24"/>
          <w:szCs w:val="24"/>
          <w:lang w:val="en-US"/>
        </w:rPr>
        <w:t xml:space="preserve">STRASBERG SM. </w:t>
      </w:r>
      <w:r w:rsidRPr="00817E63">
        <w:rPr>
          <w:rFonts w:ascii="Arial" w:hAnsi="Arial" w:cs="Arial"/>
          <w:b/>
          <w:bCs/>
          <w:sz w:val="24"/>
          <w:szCs w:val="24"/>
          <w:lang w:val="en-US"/>
        </w:rPr>
        <w:t>Biliary injury in laparoscopic surgery.</w:t>
      </w:r>
      <w:r w:rsidRPr="00817E63">
        <w:rPr>
          <w:rFonts w:ascii="Arial" w:hAnsi="Arial" w:cs="Arial"/>
          <w:sz w:val="24"/>
          <w:szCs w:val="24"/>
          <w:lang w:val="en-US"/>
        </w:rPr>
        <w:t xml:space="preserve"> J Am Coll Surg. 2013;216(3):201-209.</w:t>
      </w:r>
    </w:p>
    <w:p w14:paraId="2C7FE3F1" w14:textId="0706AD16" w:rsidR="00817E63" w:rsidRPr="00D11FAC" w:rsidRDefault="00817E63" w:rsidP="00817E63">
      <w:pPr>
        <w:pStyle w:val="PargrafodaLista"/>
        <w:numPr>
          <w:ilvl w:val="0"/>
          <w:numId w:val="15"/>
        </w:numPr>
        <w:spacing w:line="360" w:lineRule="auto"/>
        <w:jc w:val="both"/>
        <w:rPr>
          <w:rFonts w:ascii="Arial" w:hAnsi="Arial" w:cs="Arial"/>
          <w:sz w:val="24"/>
          <w:szCs w:val="24"/>
          <w:lang w:val="en-US"/>
        </w:rPr>
      </w:pPr>
      <w:proofErr w:type="spellStart"/>
      <w:r w:rsidRPr="00D11FAC">
        <w:rPr>
          <w:rFonts w:ascii="Arial" w:hAnsi="Arial" w:cs="Arial"/>
          <w:sz w:val="24"/>
          <w:szCs w:val="24"/>
          <w:lang w:val="en-US"/>
        </w:rPr>
        <w:t>Targarona</w:t>
      </w:r>
      <w:proofErr w:type="spellEnd"/>
      <w:r w:rsidRPr="00D11FAC">
        <w:rPr>
          <w:rFonts w:ascii="Arial" w:hAnsi="Arial" w:cs="Arial"/>
          <w:sz w:val="24"/>
          <w:szCs w:val="24"/>
          <w:lang w:val="en-US"/>
        </w:rPr>
        <w:t xml:space="preserve"> EM, </w:t>
      </w:r>
      <w:proofErr w:type="spellStart"/>
      <w:r w:rsidRPr="00D11FAC">
        <w:rPr>
          <w:rFonts w:ascii="Arial" w:hAnsi="Arial" w:cs="Arial"/>
          <w:sz w:val="24"/>
          <w:szCs w:val="24"/>
          <w:lang w:val="en-US"/>
        </w:rPr>
        <w:t>Balagué</w:t>
      </w:r>
      <w:proofErr w:type="spellEnd"/>
      <w:r w:rsidRPr="00D11FAC">
        <w:rPr>
          <w:rFonts w:ascii="Arial" w:hAnsi="Arial" w:cs="Arial"/>
          <w:sz w:val="24"/>
          <w:szCs w:val="24"/>
          <w:lang w:val="en-US"/>
        </w:rPr>
        <w:t xml:space="preserve"> C, </w:t>
      </w:r>
      <w:proofErr w:type="spellStart"/>
      <w:r w:rsidRPr="00D11FAC">
        <w:rPr>
          <w:rFonts w:ascii="Arial" w:hAnsi="Arial" w:cs="Arial"/>
          <w:sz w:val="24"/>
          <w:szCs w:val="24"/>
          <w:lang w:val="en-US"/>
        </w:rPr>
        <w:t>Knook</w:t>
      </w:r>
      <w:proofErr w:type="spellEnd"/>
      <w:r w:rsidRPr="00D11FAC">
        <w:rPr>
          <w:rFonts w:ascii="Arial" w:hAnsi="Arial" w:cs="Arial"/>
          <w:sz w:val="24"/>
          <w:szCs w:val="24"/>
          <w:lang w:val="en-US"/>
        </w:rPr>
        <w:t xml:space="preserve"> MM, Trias M. </w:t>
      </w:r>
      <w:r w:rsidRPr="00D11FAC">
        <w:rPr>
          <w:rFonts w:ascii="Arial" w:hAnsi="Arial" w:cs="Arial"/>
          <w:b/>
          <w:bCs/>
          <w:sz w:val="24"/>
          <w:szCs w:val="24"/>
          <w:lang w:val="en-US"/>
        </w:rPr>
        <w:t>Laparoscopic surgery and infection</w:t>
      </w:r>
      <w:r w:rsidRPr="00D11FAC">
        <w:rPr>
          <w:rFonts w:ascii="Arial" w:hAnsi="Arial" w:cs="Arial"/>
          <w:sz w:val="24"/>
          <w:szCs w:val="24"/>
          <w:lang w:val="en-US"/>
        </w:rPr>
        <w:t>. Br J Surg. 2000;87(5):536-544.</w:t>
      </w:r>
    </w:p>
    <w:p w14:paraId="74B0109D" w14:textId="77777777" w:rsidR="00817E63" w:rsidRPr="00817E63" w:rsidRDefault="00817E63" w:rsidP="00817E63">
      <w:pPr>
        <w:spacing w:line="360" w:lineRule="auto"/>
        <w:jc w:val="both"/>
        <w:rPr>
          <w:rFonts w:ascii="Arial" w:hAnsi="Arial" w:cs="Arial"/>
          <w:sz w:val="24"/>
          <w:szCs w:val="24"/>
          <w:lang w:val="en-US"/>
        </w:rPr>
      </w:pPr>
    </w:p>
    <w:sectPr w:rsidR="00817E63" w:rsidRPr="00817E63" w:rsidSect="00DA2F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78F"/>
    <w:multiLevelType w:val="hybridMultilevel"/>
    <w:tmpl w:val="C86ED43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5A4BB5"/>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20B70"/>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98267F"/>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013229"/>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41687E"/>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3D54B8F"/>
    <w:multiLevelType w:val="hybridMultilevel"/>
    <w:tmpl w:val="C29EA60E"/>
    <w:lvl w:ilvl="0" w:tplc="0416000F">
      <w:start w:val="1"/>
      <w:numFmt w:val="decimal"/>
      <w:lvlText w:val="%1."/>
      <w:lvlJc w:val="left"/>
      <w:pPr>
        <w:ind w:left="502"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0BD7CA4"/>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5774319"/>
    <w:multiLevelType w:val="hybridMultilevel"/>
    <w:tmpl w:val="550406DE"/>
    <w:lvl w:ilvl="0" w:tplc="FFFFFFFF">
      <w:start w:val="1"/>
      <w:numFmt w:val="decimal"/>
      <w:lvlText w:val="%1."/>
      <w:lvlJc w:val="left"/>
      <w:pPr>
        <w:ind w:left="502"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9F40D7B"/>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C20382"/>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723C45"/>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28B181C"/>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F707AC"/>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F97450"/>
    <w:multiLevelType w:val="hybridMultilevel"/>
    <w:tmpl w:val="C29EA60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6915132">
    <w:abstractNumId w:val="0"/>
  </w:num>
  <w:num w:numId="2" w16cid:durableId="970329193">
    <w:abstractNumId w:val="6"/>
  </w:num>
  <w:num w:numId="3" w16cid:durableId="411515068">
    <w:abstractNumId w:val="1"/>
  </w:num>
  <w:num w:numId="4" w16cid:durableId="1977953581">
    <w:abstractNumId w:val="14"/>
  </w:num>
  <w:num w:numId="5" w16cid:durableId="358969423">
    <w:abstractNumId w:val="3"/>
  </w:num>
  <w:num w:numId="6" w16cid:durableId="1546866801">
    <w:abstractNumId w:val="11"/>
  </w:num>
  <w:num w:numId="7" w16cid:durableId="306784295">
    <w:abstractNumId w:val="12"/>
  </w:num>
  <w:num w:numId="8" w16cid:durableId="1259750566">
    <w:abstractNumId w:val="9"/>
  </w:num>
  <w:num w:numId="9" w16cid:durableId="2110008112">
    <w:abstractNumId w:val="4"/>
  </w:num>
  <w:num w:numId="10" w16cid:durableId="1887836098">
    <w:abstractNumId w:val="2"/>
  </w:num>
  <w:num w:numId="11" w16cid:durableId="1741488866">
    <w:abstractNumId w:val="5"/>
  </w:num>
  <w:num w:numId="12" w16cid:durableId="873467122">
    <w:abstractNumId w:val="10"/>
  </w:num>
  <w:num w:numId="13" w16cid:durableId="1753698096">
    <w:abstractNumId w:val="7"/>
  </w:num>
  <w:num w:numId="14" w16cid:durableId="238290042">
    <w:abstractNumId w:val="13"/>
  </w:num>
  <w:num w:numId="15" w16cid:durableId="20805171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D0"/>
    <w:rsid w:val="000025D0"/>
    <w:rsid w:val="0019780E"/>
    <w:rsid w:val="001B70AF"/>
    <w:rsid w:val="001D561E"/>
    <w:rsid w:val="002A60EA"/>
    <w:rsid w:val="00464C33"/>
    <w:rsid w:val="00504D28"/>
    <w:rsid w:val="00635244"/>
    <w:rsid w:val="007E4B2F"/>
    <w:rsid w:val="00817E63"/>
    <w:rsid w:val="008924C0"/>
    <w:rsid w:val="008C6BB1"/>
    <w:rsid w:val="00916E65"/>
    <w:rsid w:val="009F740A"/>
    <w:rsid w:val="00A15E97"/>
    <w:rsid w:val="00B93855"/>
    <w:rsid w:val="00C10F87"/>
    <w:rsid w:val="00CC3689"/>
    <w:rsid w:val="00D11FAC"/>
    <w:rsid w:val="00DA2F32"/>
    <w:rsid w:val="00DF5BB9"/>
    <w:rsid w:val="00E85909"/>
    <w:rsid w:val="00E923A0"/>
    <w:rsid w:val="00F26746"/>
    <w:rsid w:val="00F6766F"/>
    <w:rsid w:val="00F93E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C5B2"/>
  <w15:chartTrackingRefBased/>
  <w15:docId w15:val="{C70D76BA-389C-4ABA-A367-EB63C8CD8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02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02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025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025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025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025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025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025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025D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025D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025D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025D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025D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025D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025D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025D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025D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025D0"/>
    <w:rPr>
      <w:rFonts w:eastAsiaTheme="majorEastAsia" w:cstheme="majorBidi"/>
      <w:color w:val="272727" w:themeColor="text1" w:themeTint="D8"/>
    </w:rPr>
  </w:style>
  <w:style w:type="paragraph" w:styleId="Ttulo">
    <w:name w:val="Title"/>
    <w:basedOn w:val="Normal"/>
    <w:next w:val="Normal"/>
    <w:link w:val="TtuloChar"/>
    <w:uiPriority w:val="10"/>
    <w:qFormat/>
    <w:rsid w:val="00002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025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025D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025D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025D0"/>
    <w:pPr>
      <w:spacing w:before="160"/>
      <w:jc w:val="center"/>
    </w:pPr>
    <w:rPr>
      <w:i/>
      <w:iCs/>
      <w:color w:val="404040" w:themeColor="text1" w:themeTint="BF"/>
    </w:rPr>
  </w:style>
  <w:style w:type="character" w:customStyle="1" w:styleId="CitaoChar">
    <w:name w:val="Citação Char"/>
    <w:basedOn w:val="Fontepargpadro"/>
    <w:link w:val="Citao"/>
    <w:uiPriority w:val="29"/>
    <w:rsid w:val="000025D0"/>
    <w:rPr>
      <w:i/>
      <w:iCs/>
      <w:color w:val="404040" w:themeColor="text1" w:themeTint="BF"/>
    </w:rPr>
  </w:style>
  <w:style w:type="paragraph" w:styleId="PargrafodaLista">
    <w:name w:val="List Paragraph"/>
    <w:basedOn w:val="Normal"/>
    <w:uiPriority w:val="34"/>
    <w:qFormat/>
    <w:rsid w:val="000025D0"/>
    <w:pPr>
      <w:ind w:left="720"/>
      <w:contextualSpacing/>
    </w:pPr>
  </w:style>
  <w:style w:type="character" w:styleId="nfaseIntensa">
    <w:name w:val="Intense Emphasis"/>
    <w:basedOn w:val="Fontepargpadro"/>
    <w:uiPriority w:val="21"/>
    <w:qFormat/>
    <w:rsid w:val="000025D0"/>
    <w:rPr>
      <w:i/>
      <w:iCs/>
      <w:color w:val="0F4761" w:themeColor="accent1" w:themeShade="BF"/>
    </w:rPr>
  </w:style>
  <w:style w:type="paragraph" w:styleId="CitaoIntensa">
    <w:name w:val="Intense Quote"/>
    <w:basedOn w:val="Normal"/>
    <w:next w:val="Normal"/>
    <w:link w:val="CitaoIntensaChar"/>
    <w:uiPriority w:val="30"/>
    <w:qFormat/>
    <w:rsid w:val="00002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025D0"/>
    <w:rPr>
      <w:i/>
      <w:iCs/>
      <w:color w:val="0F4761" w:themeColor="accent1" w:themeShade="BF"/>
    </w:rPr>
  </w:style>
  <w:style w:type="character" w:styleId="RefernciaIntensa">
    <w:name w:val="Intense Reference"/>
    <w:basedOn w:val="Fontepargpadro"/>
    <w:uiPriority w:val="32"/>
    <w:qFormat/>
    <w:rsid w:val="000025D0"/>
    <w:rPr>
      <w:b/>
      <w:bCs/>
      <w:smallCaps/>
      <w:color w:val="0F4761" w:themeColor="accent1" w:themeShade="BF"/>
      <w:spacing w:val="5"/>
    </w:rPr>
  </w:style>
  <w:style w:type="character" w:styleId="Hyperlink">
    <w:name w:val="Hyperlink"/>
    <w:basedOn w:val="Fontepargpadro"/>
    <w:uiPriority w:val="99"/>
    <w:unhideWhenUsed/>
    <w:rsid w:val="001D561E"/>
    <w:rPr>
      <w:color w:val="467886" w:themeColor="hyperlink"/>
      <w:u w:val="single"/>
    </w:rPr>
  </w:style>
  <w:style w:type="character" w:styleId="MenoPendente">
    <w:name w:val="Unresolved Mention"/>
    <w:basedOn w:val="Fontepargpadro"/>
    <w:uiPriority w:val="99"/>
    <w:semiHidden/>
    <w:unhideWhenUsed/>
    <w:rsid w:val="001D5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no@hotmail.com" TargetMode="External"/><Relationship Id="rId5" Type="http://schemas.openxmlformats.org/officeDocument/2006/relationships/hyperlink" Target="https://orcid.org/0009%200000-5270-573"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7</Pages>
  <Words>2029</Words>
  <Characters>11569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priscila marino pereira</dc:creator>
  <cp:keywords/>
  <dc:description/>
  <cp:lastModifiedBy>Marcela Mesquita</cp:lastModifiedBy>
  <cp:revision>9</cp:revision>
  <dcterms:created xsi:type="dcterms:W3CDTF">2026-03-02T00:13:00Z</dcterms:created>
  <dcterms:modified xsi:type="dcterms:W3CDTF">2026-09-03T22:14:00Z</dcterms:modified>
</cp:coreProperties>
</file>