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D50E" w14:textId="77777777" w:rsidR="00AC300C" w:rsidRPr="00622B02" w:rsidRDefault="001E150A">
      <w:pPr>
        <w:jc w:val="center"/>
        <w:rPr>
          <w:b/>
          <w:bCs/>
          <w:sz w:val="28"/>
          <w:szCs w:val="28"/>
        </w:rPr>
      </w:pPr>
      <w:r w:rsidRPr="00622B02">
        <w:rPr>
          <w:b/>
          <w:bCs/>
          <w:sz w:val="28"/>
          <w:szCs w:val="28"/>
        </w:rPr>
        <w:t>CONTAGEM DE EOSINÓFILOS COMO BIOMARCADOR NA PERSONALIZAÇÃO TERAPÊUTICA DA DPOC: UMA REVISÃO INTEGRATIVA.</w:t>
      </w:r>
    </w:p>
    <w:p w14:paraId="3F99D50F" w14:textId="77777777" w:rsidR="00AC300C" w:rsidRPr="00622B02" w:rsidRDefault="00AC300C">
      <w:pPr>
        <w:jc w:val="center"/>
        <w:rPr>
          <w:b/>
          <w:bCs/>
          <w:sz w:val="28"/>
          <w:szCs w:val="28"/>
        </w:rPr>
      </w:pPr>
    </w:p>
    <w:p w14:paraId="3F99D510" w14:textId="77777777" w:rsidR="00AC300C" w:rsidRPr="00622B02" w:rsidRDefault="001E150A">
      <w:pPr>
        <w:jc w:val="center"/>
        <w:rPr>
          <w:b/>
          <w:bCs/>
          <w:sz w:val="28"/>
          <w:szCs w:val="28"/>
          <w:lang w:val="en-US"/>
        </w:rPr>
      </w:pPr>
      <w:r w:rsidRPr="00622B02">
        <w:rPr>
          <w:b/>
          <w:bCs/>
          <w:sz w:val="28"/>
          <w:szCs w:val="28"/>
          <w:lang w:val="en-US"/>
        </w:rPr>
        <w:t xml:space="preserve">EOSINOPHIL COUNT AS A BIOMARKER FOR PERSONALIZED COPD THERAPY: AN INTEGRATIVE REVIEW. </w:t>
      </w:r>
    </w:p>
    <w:p w14:paraId="3F99D511" w14:textId="77777777" w:rsidR="00AC300C" w:rsidRPr="00622B02" w:rsidRDefault="00AC300C">
      <w:pPr>
        <w:jc w:val="center"/>
        <w:rPr>
          <w:sz w:val="28"/>
          <w:szCs w:val="28"/>
          <w:lang w:val="en-US"/>
        </w:rPr>
      </w:pPr>
    </w:p>
    <w:p w14:paraId="3F99D512" w14:textId="77777777" w:rsidR="00AC300C" w:rsidRDefault="001E150A">
      <w:pPr>
        <w:jc w:val="center"/>
        <w:rPr>
          <w:b/>
          <w:bCs/>
          <w:sz w:val="24"/>
          <w:szCs w:val="24"/>
        </w:rPr>
      </w:pPr>
      <w:r>
        <w:rPr>
          <w:b/>
          <w:bCs/>
          <w:sz w:val="24"/>
          <w:szCs w:val="24"/>
        </w:rPr>
        <w:t>LIGA ACADÊMICA DE PNEUMOLOGIA</w:t>
      </w:r>
    </w:p>
    <w:p w14:paraId="3F99D513" w14:textId="77777777" w:rsidR="00AC300C" w:rsidRDefault="00AC300C">
      <w:pPr>
        <w:jc w:val="center"/>
        <w:rPr>
          <w:b/>
          <w:bCs/>
          <w:sz w:val="24"/>
          <w:szCs w:val="24"/>
        </w:rPr>
      </w:pPr>
    </w:p>
    <w:p w14:paraId="3F99D514" w14:textId="1E984768" w:rsidR="00AC300C" w:rsidRPr="00622B02" w:rsidRDefault="001E150A" w:rsidP="00622B02">
      <w:pPr>
        <w:spacing w:line="436" w:lineRule="auto"/>
        <w:jc w:val="center"/>
        <w:rPr>
          <w:sz w:val="20"/>
          <w:szCs w:val="20"/>
        </w:rPr>
      </w:pPr>
      <w:r w:rsidRPr="00622B02">
        <w:rPr>
          <w:b/>
          <w:bCs/>
          <w:sz w:val="20"/>
          <w:szCs w:val="20"/>
        </w:rPr>
        <w:t xml:space="preserve">Autores:  </w:t>
      </w:r>
      <w:r w:rsidRPr="00622B02">
        <w:rPr>
          <w:sz w:val="20"/>
          <w:szCs w:val="20"/>
        </w:rPr>
        <w:t xml:space="preserve">Rafaela Moreira Dias De Sousa </w:t>
      </w:r>
      <w:r w:rsidRPr="00622B02">
        <w:rPr>
          <w:rFonts w:eastAsia="Helvetica Neue"/>
          <w:sz w:val="20"/>
          <w:szCs w:val="20"/>
        </w:rPr>
        <w:t>¹</w:t>
      </w:r>
      <w:r w:rsidRPr="00622B02">
        <w:rPr>
          <w:sz w:val="20"/>
          <w:szCs w:val="20"/>
        </w:rPr>
        <w:t xml:space="preserve">, Letícia Barbosa de Barros </w:t>
      </w:r>
      <w:r w:rsidRPr="00622B02">
        <w:rPr>
          <w:rFonts w:eastAsia="Helvetica Neue"/>
          <w:sz w:val="20"/>
          <w:szCs w:val="20"/>
        </w:rPr>
        <w:t>¹</w:t>
      </w:r>
      <w:r w:rsidRPr="00622B02">
        <w:rPr>
          <w:sz w:val="20"/>
          <w:szCs w:val="20"/>
        </w:rPr>
        <w:t xml:space="preserve">, Maria Clara Machareth Martins </w:t>
      </w:r>
      <w:r w:rsidRPr="00622B02">
        <w:rPr>
          <w:rFonts w:eastAsia="Helvetica Neue"/>
          <w:sz w:val="20"/>
          <w:szCs w:val="20"/>
        </w:rPr>
        <w:t>¹</w:t>
      </w:r>
      <w:r w:rsidRPr="00622B02">
        <w:rPr>
          <w:sz w:val="20"/>
          <w:szCs w:val="20"/>
        </w:rPr>
        <w:t xml:space="preserve">, Danielle </w:t>
      </w:r>
      <w:r w:rsidR="00EA0B59" w:rsidRPr="00622B02">
        <w:rPr>
          <w:sz w:val="20"/>
          <w:szCs w:val="20"/>
        </w:rPr>
        <w:t>Câmara</w:t>
      </w:r>
      <w:r w:rsidRPr="00622B02">
        <w:rPr>
          <w:sz w:val="20"/>
          <w:szCs w:val="20"/>
        </w:rPr>
        <w:t xml:space="preserve"> de Vasconcelos Rios </w:t>
      </w:r>
      <w:r w:rsidRPr="00622B02">
        <w:rPr>
          <w:sz w:val="20"/>
          <w:szCs w:val="20"/>
        </w:rPr>
        <w:t>²</w:t>
      </w:r>
      <w:r w:rsidRPr="00622B02">
        <w:rPr>
          <w:sz w:val="20"/>
          <w:szCs w:val="20"/>
        </w:rPr>
        <w:t xml:space="preserve">, Mônica Flores Rick </w:t>
      </w:r>
      <w:r w:rsidRPr="00622B02">
        <w:rPr>
          <w:sz w:val="20"/>
          <w:szCs w:val="20"/>
        </w:rPr>
        <w:t>².</w:t>
      </w:r>
    </w:p>
    <w:p w14:paraId="3F99D515" w14:textId="77777777" w:rsidR="00AC300C" w:rsidRPr="00622B02" w:rsidRDefault="00AC300C" w:rsidP="00622B02">
      <w:pPr>
        <w:spacing w:line="436" w:lineRule="auto"/>
        <w:jc w:val="center"/>
        <w:rPr>
          <w:sz w:val="20"/>
          <w:szCs w:val="20"/>
        </w:rPr>
      </w:pPr>
    </w:p>
    <w:p w14:paraId="3F99D516" w14:textId="77777777" w:rsidR="00AC300C" w:rsidRPr="00622B02" w:rsidRDefault="001E150A" w:rsidP="00622B02">
      <w:pPr>
        <w:spacing w:line="436" w:lineRule="auto"/>
        <w:jc w:val="center"/>
        <w:rPr>
          <w:sz w:val="20"/>
          <w:szCs w:val="20"/>
        </w:rPr>
      </w:pPr>
      <w:r w:rsidRPr="00622B02">
        <w:rPr>
          <w:sz w:val="20"/>
          <w:szCs w:val="20"/>
        </w:rPr>
        <w:t>1. Discente de Medicina - Universidade Iguaçu, UNIG / Nova Iguaçu, Rio de Janeiro</w:t>
      </w:r>
    </w:p>
    <w:p w14:paraId="3F99D517" w14:textId="77777777" w:rsidR="00AC300C" w:rsidRPr="00622B02" w:rsidRDefault="001E150A" w:rsidP="00622B02">
      <w:pPr>
        <w:spacing w:line="436" w:lineRule="auto"/>
        <w:jc w:val="center"/>
        <w:rPr>
          <w:sz w:val="20"/>
          <w:szCs w:val="20"/>
        </w:rPr>
      </w:pPr>
      <w:r w:rsidRPr="00622B02">
        <w:rPr>
          <w:sz w:val="20"/>
          <w:szCs w:val="20"/>
        </w:rPr>
        <w:t>2. Docente de Medicina - Universidade Iguaçu, UNIG / Nova Iguaçu, Rio de Janeiro</w:t>
      </w:r>
    </w:p>
    <w:p w14:paraId="3F99D518" w14:textId="77777777" w:rsidR="00AC300C" w:rsidRPr="00622B02" w:rsidRDefault="00AC300C" w:rsidP="00622B02">
      <w:pPr>
        <w:spacing w:line="436" w:lineRule="auto"/>
        <w:jc w:val="center"/>
        <w:rPr>
          <w:sz w:val="20"/>
          <w:szCs w:val="20"/>
        </w:rPr>
      </w:pPr>
    </w:p>
    <w:p w14:paraId="3F99D519" w14:textId="0D063980" w:rsidR="00AC300C" w:rsidRPr="00622B02" w:rsidRDefault="001E150A" w:rsidP="00622B02">
      <w:pPr>
        <w:spacing w:line="436" w:lineRule="auto"/>
        <w:jc w:val="center"/>
        <w:rPr>
          <w:sz w:val="20"/>
          <w:szCs w:val="20"/>
        </w:rPr>
      </w:pPr>
      <w:r w:rsidRPr="00622B02">
        <w:rPr>
          <w:sz w:val="20"/>
          <w:szCs w:val="20"/>
        </w:rPr>
        <w:t xml:space="preserve">Autor Correspondente: Rafaela Moreira Dias De Sousa, Av. Presidente Tancredo Neves 5100, 21985292710, </w:t>
      </w:r>
      <w:hyperlink r:id="rId7">
        <w:r w:rsidRPr="00622B02">
          <w:rPr>
            <w:sz w:val="20"/>
            <w:szCs w:val="20"/>
            <w:u w:val="single"/>
          </w:rPr>
          <w:t>rafaelamoreiradias35@gmail.com</w:t>
        </w:r>
      </w:hyperlink>
      <w:r w:rsidRPr="00622B02">
        <w:rPr>
          <w:sz w:val="20"/>
          <w:szCs w:val="20"/>
        </w:rPr>
        <w:t>.</w:t>
      </w:r>
    </w:p>
    <w:p w14:paraId="3F99D51A" w14:textId="77777777" w:rsidR="00AC300C" w:rsidRPr="00622B02" w:rsidRDefault="00AC300C" w:rsidP="00622B02">
      <w:pPr>
        <w:spacing w:line="360" w:lineRule="auto"/>
        <w:jc w:val="both"/>
        <w:rPr>
          <w:sz w:val="24"/>
          <w:szCs w:val="24"/>
        </w:rPr>
      </w:pPr>
    </w:p>
    <w:p w14:paraId="3F99D51B" w14:textId="77777777" w:rsidR="00AC300C" w:rsidRPr="00622B02" w:rsidRDefault="001E150A" w:rsidP="00622B02">
      <w:pPr>
        <w:spacing w:line="360" w:lineRule="auto"/>
        <w:jc w:val="both"/>
        <w:rPr>
          <w:b/>
          <w:bCs/>
          <w:sz w:val="24"/>
          <w:szCs w:val="24"/>
        </w:rPr>
      </w:pPr>
      <w:r w:rsidRPr="00622B02">
        <w:rPr>
          <w:b/>
          <w:bCs/>
          <w:sz w:val="24"/>
          <w:szCs w:val="24"/>
        </w:rPr>
        <w:t>RESUMO:</w:t>
      </w:r>
    </w:p>
    <w:p w14:paraId="3F99D51C" w14:textId="77777777" w:rsidR="00AC300C" w:rsidRPr="00622B02" w:rsidRDefault="00AC300C" w:rsidP="00622B02">
      <w:pPr>
        <w:spacing w:line="360" w:lineRule="auto"/>
        <w:jc w:val="both"/>
        <w:rPr>
          <w:b/>
          <w:bCs/>
          <w:sz w:val="24"/>
          <w:szCs w:val="24"/>
        </w:rPr>
      </w:pPr>
    </w:p>
    <w:p w14:paraId="3F99D51D" w14:textId="77777777" w:rsidR="00AC300C" w:rsidRPr="00622B02" w:rsidRDefault="001E150A" w:rsidP="00622B02">
      <w:pPr>
        <w:spacing w:line="360" w:lineRule="auto"/>
        <w:jc w:val="both"/>
        <w:rPr>
          <w:sz w:val="24"/>
          <w:szCs w:val="24"/>
        </w:rPr>
      </w:pPr>
      <w:r w:rsidRPr="00622B02">
        <w:rPr>
          <w:b/>
          <w:bCs/>
          <w:sz w:val="24"/>
          <w:szCs w:val="24"/>
        </w:rPr>
        <w:t>Introdução:</w:t>
      </w:r>
      <w:r w:rsidRPr="00622B02">
        <w:rPr>
          <w:rFonts w:eastAsia="Arial Unicode MS"/>
          <w:sz w:val="24"/>
          <w:szCs w:val="24"/>
        </w:rPr>
        <w:t xml:space="preserve"> A Doença Pulmonar Obstrutiva Crônica (DPOC) é uma das principais causas de morte global. Evidências recentes destacam o fenótipo eosinofílico na fisiopatologia da doença. O relatório GOLD 2026 consolidou a contagem de eosinófilos sanguíneos para guiar a terapia inicial, indicando tripla terapia precoce para o grupo E com contagem ≥300células/µL. </w:t>
      </w:r>
      <w:r w:rsidRPr="00622B02">
        <w:rPr>
          <w:b/>
          <w:bCs/>
          <w:sz w:val="24"/>
          <w:szCs w:val="24"/>
        </w:rPr>
        <w:t>Materiais e métodos:</w:t>
      </w:r>
      <w:r w:rsidRPr="00622B02">
        <w:rPr>
          <w:sz w:val="24"/>
          <w:szCs w:val="24"/>
        </w:rPr>
        <w:t xml:space="preserve"> Revisão integrativa nas bases PubMed, SciELO e Google Acadêmico, além da diretriz GOLD, com artigos em português, inglês e espanhol (2020–2026). Foram selecionadas 12 publicações. </w:t>
      </w:r>
      <w:r w:rsidRPr="00622B02">
        <w:rPr>
          <w:b/>
          <w:bCs/>
          <w:sz w:val="24"/>
          <w:szCs w:val="24"/>
        </w:rPr>
        <w:t>Discussão:</w:t>
      </w:r>
      <w:r w:rsidRPr="00622B02">
        <w:rPr>
          <w:sz w:val="24"/>
          <w:szCs w:val="24"/>
        </w:rPr>
        <w:t xml:space="preserve"> Os estudos confirmam que a eosinofilia sanguínea prediz maior benefício clínico com corticosteroides inalatórios. Contudo, há limitações como a variabilidade temporal dos eosinófilos e a falta de consenso sobre pontos de corte intermediários. Terapias-alvo (anti-IL-5) mostram potencial para subgrupos específicos. </w:t>
      </w:r>
      <w:r w:rsidRPr="00622B02">
        <w:rPr>
          <w:b/>
          <w:bCs/>
          <w:sz w:val="24"/>
          <w:szCs w:val="24"/>
        </w:rPr>
        <w:t>Conclusão:</w:t>
      </w:r>
      <w:r w:rsidRPr="00622B02">
        <w:rPr>
          <w:sz w:val="24"/>
          <w:szCs w:val="24"/>
        </w:rPr>
        <w:t xml:space="preserve"> A contagem de eosinófilos é um biomarcador eficaz para individualizar o uso de corticosteroides inalatórios na DPOC, embora persistam limitações. </w:t>
      </w:r>
    </w:p>
    <w:p w14:paraId="3F99D51E" w14:textId="77777777" w:rsidR="00AC300C" w:rsidRPr="00622B02" w:rsidRDefault="00AC300C" w:rsidP="00622B02">
      <w:pPr>
        <w:spacing w:line="360" w:lineRule="auto"/>
        <w:ind w:firstLine="540"/>
        <w:jc w:val="both"/>
        <w:rPr>
          <w:sz w:val="24"/>
          <w:szCs w:val="24"/>
        </w:rPr>
      </w:pPr>
    </w:p>
    <w:p w14:paraId="3F99D51F" w14:textId="77777777" w:rsidR="00AC300C" w:rsidRPr="00622B02" w:rsidRDefault="001E150A" w:rsidP="00622B02">
      <w:pPr>
        <w:spacing w:line="360" w:lineRule="auto"/>
        <w:jc w:val="both"/>
        <w:rPr>
          <w:sz w:val="24"/>
          <w:szCs w:val="24"/>
        </w:rPr>
      </w:pPr>
      <w:r w:rsidRPr="00622B02">
        <w:rPr>
          <w:b/>
          <w:bCs/>
          <w:sz w:val="24"/>
          <w:szCs w:val="24"/>
        </w:rPr>
        <w:lastRenderedPageBreak/>
        <w:t>PALAVRAS-CHAVE:</w:t>
      </w:r>
      <w:r w:rsidRPr="00622B02">
        <w:rPr>
          <w:sz w:val="24"/>
          <w:szCs w:val="24"/>
        </w:rPr>
        <w:t xml:space="preserve"> “DPOC”, “eosinófilos”, “tratamento”.</w:t>
      </w:r>
    </w:p>
    <w:p w14:paraId="3F99D520" w14:textId="77777777" w:rsidR="00AC300C" w:rsidRPr="00622B02" w:rsidRDefault="00AC300C" w:rsidP="00622B02">
      <w:pPr>
        <w:spacing w:line="360" w:lineRule="auto"/>
        <w:jc w:val="both"/>
        <w:rPr>
          <w:sz w:val="24"/>
          <w:szCs w:val="24"/>
        </w:rPr>
      </w:pPr>
    </w:p>
    <w:p w14:paraId="3F99D521" w14:textId="77777777" w:rsidR="00AC300C" w:rsidRPr="00622B02" w:rsidRDefault="001E150A" w:rsidP="00622B02">
      <w:pPr>
        <w:spacing w:after="80" w:line="360" w:lineRule="auto"/>
        <w:jc w:val="both"/>
        <w:rPr>
          <w:b/>
          <w:bCs/>
          <w:sz w:val="24"/>
          <w:szCs w:val="24"/>
          <w:lang w:val="en-US"/>
        </w:rPr>
      </w:pPr>
      <w:r w:rsidRPr="00622B02">
        <w:rPr>
          <w:b/>
          <w:bCs/>
          <w:sz w:val="24"/>
          <w:szCs w:val="24"/>
          <w:lang w:val="en-US"/>
        </w:rPr>
        <w:t>ABSTRACT</w:t>
      </w:r>
      <w:r w:rsidRPr="00622B02">
        <w:rPr>
          <w:b/>
          <w:bCs/>
          <w:sz w:val="24"/>
          <w:szCs w:val="24"/>
          <w:lang w:val="en-US"/>
        </w:rPr>
        <w:t xml:space="preserve">: </w:t>
      </w:r>
    </w:p>
    <w:p w14:paraId="3F99D522" w14:textId="77777777" w:rsidR="00AC300C" w:rsidRPr="00622B02" w:rsidRDefault="001E150A" w:rsidP="00622B02">
      <w:pPr>
        <w:spacing w:after="80" w:line="360" w:lineRule="auto"/>
        <w:jc w:val="both"/>
        <w:rPr>
          <w:sz w:val="24"/>
          <w:szCs w:val="24"/>
          <w:lang w:val="en-US"/>
        </w:rPr>
      </w:pPr>
      <w:r w:rsidRPr="00622B02">
        <w:rPr>
          <w:b/>
          <w:bCs/>
          <w:sz w:val="24"/>
          <w:szCs w:val="24"/>
          <w:lang w:val="en-US"/>
        </w:rPr>
        <w:t>Introduction</w:t>
      </w:r>
      <w:r w:rsidRPr="00622B02">
        <w:rPr>
          <w:rFonts w:eastAsia="Arial Unicode MS"/>
          <w:sz w:val="24"/>
          <w:szCs w:val="24"/>
          <w:lang w:val="en-US"/>
        </w:rPr>
        <w:t xml:space="preserve">: Chronic Obstructive Pulmonary Disease (COPD) is a leading cause of death worldwide. Recent evidence highlights the eosinophilic phenotype in the disease's pathophysiology. The GOLD 2026 report established blood eosinophil counts as a guide for initial therapy, recommending early triple therapy for Group E patients with counts ≥300 cells/µL. </w:t>
      </w:r>
      <w:r w:rsidRPr="00622B02">
        <w:rPr>
          <w:b/>
          <w:bCs/>
          <w:sz w:val="24"/>
          <w:szCs w:val="24"/>
          <w:lang w:val="en-US"/>
        </w:rPr>
        <w:t>Materials and Methods:</w:t>
      </w:r>
      <w:r w:rsidRPr="00622B02">
        <w:rPr>
          <w:sz w:val="24"/>
          <w:szCs w:val="24"/>
          <w:lang w:val="en-US"/>
        </w:rPr>
        <w:t xml:space="preserve"> An integrative review was conducted using PubMed, SciELO, and Google Scholar, alongside the GOLD guidelines, covering articles in Portuguese, English, and Spanish (2020–2026). Twelve publications were selected. </w:t>
      </w:r>
      <w:r w:rsidRPr="00622B02">
        <w:rPr>
          <w:b/>
          <w:bCs/>
          <w:sz w:val="24"/>
          <w:szCs w:val="24"/>
          <w:lang w:val="en-US"/>
        </w:rPr>
        <w:t>Discussion</w:t>
      </w:r>
      <w:r w:rsidRPr="00622B02">
        <w:rPr>
          <w:sz w:val="24"/>
          <w:szCs w:val="24"/>
          <w:lang w:val="en-US"/>
        </w:rPr>
        <w:t xml:space="preserve">: Studies confirm that blood eosinophilia predicts greater clinical benefit from inhaled corticosteroids. However, limitations exist, such as the temporal variability of eosinophil counts and the lack of consensus regarding intermediate cut-off points. Targeted therapies (anti-IL-5) show potential for specific subgroups. </w:t>
      </w:r>
      <w:r w:rsidRPr="00622B02">
        <w:rPr>
          <w:b/>
          <w:bCs/>
          <w:sz w:val="24"/>
          <w:szCs w:val="24"/>
          <w:lang w:val="en-US"/>
        </w:rPr>
        <w:t>Conclusion</w:t>
      </w:r>
      <w:r w:rsidRPr="00622B02">
        <w:rPr>
          <w:sz w:val="24"/>
          <w:szCs w:val="24"/>
          <w:lang w:val="en-US"/>
        </w:rPr>
        <w:t>: Eosinophil count is an effective biomarker for personalizing the use of inhaled corticosteroids in COPD, although limitations remain.</w:t>
      </w:r>
    </w:p>
    <w:p w14:paraId="3F99D523" w14:textId="77777777" w:rsidR="00AC300C" w:rsidRPr="00622B02" w:rsidRDefault="001E150A" w:rsidP="00622B02">
      <w:pPr>
        <w:spacing w:line="360" w:lineRule="auto"/>
        <w:jc w:val="both"/>
        <w:rPr>
          <w:sz w:val="24"/>
          <w:szCs w:val="24"/>
          <w:lang w:val="en-US"/>
        </w:rPr>
      </w:pPr>
      <w:r w:rsidRPr="00622B02">
        <w:rPr>
          <w:b/>
          <w:bCs/>
          <w:sz w:val="24"/>
          <w:szCs w:val="24"/>
          <w:lang w:val="en-US"/>
        </w:rPr>
        <w:t xml:space="preserve">KEYWORDS: </w:t>
      </w:r>
      <w:r w:rsidRPr="00622B02">
        <w:rPr>
          <w:sz w:val="24"/>
          <w:szCs w:val="24"/>
          <w:lang w:val="en-US"/>
        </w:rPr>
        <w:t>“COPD”, “eosinophils”, “treatment”.</w:t>
      </w:r>
    </w:p>
    <w:p w14:paraId="3F99D524" w14:textId="77777777" w:rsidR="00AC300C" w:rsidRPr="00622B02" w:rsidRDefault="00AC300C" w:rsidP="00622B02">
      <w:pPr>
        <w:spacing w:line="360" w:lineRule="auto"/>
        <w:jc w:val="both"/>
        <w:rPr>
          <w:sz w:val="24"/>
          <w:szCs w:val="24"/>
          <w:lang w:val="en-US"/>
        </w:rPr>
      </w:pPr>
    </w:p>
    <w:p w14:paraId="3F99D525" w14:textId="77777777" w:rsidR="00AC300C" w:rsidRPr="00622B02" w:rsidRDefault="001E150A" w:rsidP="00622B02">
      <w:pPr>
        <w:spacing w:line="360" w:lineRule="auto"/>
        <w:jc w:val="both"/>
        <w:rPr>
          <w:sz w:val="24"/>
          <w:szCs w:val="24"/>
          <w:lang w:val="en-US"/>
        </w:rPr>
      </w:pPr>
      <w:r w:rsidRPr="00622B02">
        <w:rPr>
          <w:b/>
          <w:bCs/>
          <w:sz w:val="24"/>
          <w:szCs w:val="24"/>
          <w:lang w:val="en-US"/>
        </w:rPr>
        <w:t>INTRODUÇÃO:</w:t>
      </w:r>
    </w:p>
    <w:p w14:paraId="3F99D526" w14:textId="77777777" w:rsidR="00AC300C" w:rsidRPr="00622B02" w:rsidRDefault="001E150A" w:rsidP="00622B02">
      <w:pPr>
        <w:spacing w:before="240" w:after="240" w:line="360" w:lineRule="auto"/>
        <w:jc w:val="both"/>
        <w:rPr>
          <w:sz w:val="24"/>
          <w:szCs w:val="24"/>
        </w:rPr>
      </w:pPr>
      <w:r w:rsidRPr="00622B02">
        <w:rPr>
          <w:sz w:val="24"/>
          <w:szCs w:val="24"/>
        </w:rPr>
        <w:t>A Doença Pulmonar Obstrutiva Crônica (DPOC) permanece como um importante problema de saúde pública mundial, figurando entre as três principais causas de morte no mundo. Em 2021, a doença foi responsável por mais de três milhões de óbitos. Além disso, projeções indicam um aumento expressivo da carga global da DPOC nas próximas décadas, podendo atingir cerca de 600 milhões de indivíduos até 2050. Esse crescimento está relacionado à persistência dos principais fatores de risco, especialmente o tabagismo e a po</w:t>
      </w:r>
      <w:r w:rsidRPr="00622B02">
        <w:rPr>
          <w:sz w:val="24"/>
          <w:szCs w:val="24"/>
        </w:rPr>
        <w:t>luição ambiental. Entre indivíduos que nunca fumaram, a exposição a poluentes constitui a principal causa conhecida da doença, sendo também o fator de risco mais prevalente em países de baixa e média renda, onde as taxas de mortalidade por DPOC são mais elevadas (GOLD, 2026).</w:t>
      </w:r>
    </w:p>
    <w:p w14:paraId="3F99D527" w14:textId="77777777" w:rsidR="00AC300C" w:rsidRPr="00622B02" w:rsidRDefault="001E150A" w:rsidP="00622B02">
      <w:pPr>
        <w:spacing w:before="240" w:after="240" w:line="360" w:lineRule="auto"/>
        <w:jc w:val="both"/>
        <w:rPr>
          <w:sz w:val="24"/>
          <w:szCs w:val="24"/>
        </w:rPr>
      </w:pPr>
      <w:r w:rsidRPr="00622B02">
        <w:rPr>
          <w:sz w:val="24"/>
          <w:szCs w:val="24"/>
        </w:rPr>
        <w:t xml:space="preserve">A DPOC caracteriza-se por uma resposta inflamatória crônica das vias aéreas e do parênquima pulmonar, resultando em limitação persistente do fluxo aéreo. </w:t>
      </w:r>
      <w:r w:rsidRPr="00622B02">
        <w:rPr>
          <w:sz w:val="24"/>
          <w:szCs w:val="24"/>
        </w:rPr>
        <w:lastRenderedPageBreak/>
        <w:t>Clinicamente, apresenta-se sob duas formas principais: a bronquite crônica, marcada por hipersecreção de muco e tosse produtiva, e o enfisema pulmonar, caracterizado pela destruição das paredes alveolares e aumento dos espaços aéreos distais, com consequente perda da elasticidade pulmonar e comprometimento das trocas gasosas em decorrência dos danos ao leito alvéolo-capilar (ECHEVARRIA et al., 2023).</w:t>
      </w:r>
    </w:p>
    <w:p w14:paraId="3F99D528" w14:textId="77777777" w:rsidR="00AC300C" w:rsidRPr="00622B02" w:rsidRDefault="001E150A" w:rsidP="00622B02">
      <w:pPr>
        <w:spacing w:before="240" w:after="240" w:line="360" w:lineRule="auto"/>
        <w:jc w:val="both"/>
        <w:rPr>
          <w:sz w:val="24"/>
          <w:szCs w:val="24"/>
        </w:rPr>
      </w:pPr>
      <w:r w:rsidRPr="00622B02">
        <w:rPr>
          <w:sz w:val="24"/>
          <w:szCs w:val="24"/>
        </w:rPr>
        <w:t xml:space="preserve">Historicamente, a DPOC foi associada predominantemente a um padrão inflamatório neutrofílico, mediado principalmente pelas respostas imunes Th1 e Th17, enquanto a asma era classicamente relacionada à inflamação eosinofílica do tipo Th2. Entretanto, evidências recentes demonstram que aproximadamente 20% a 40% dos pacientes com DPOC apresentam eosinofilia no sangue periférico e/ou no escarro, sugerindo que os eosinófilos desempenham papel relevante na fisiopatologia e na evolução clínica da doença (LOMBARDI; </w:t>
      </w:r>
      <w:r w:rsidRPr="00622B02">
        <w:rPr>
          <w:sz w:val="24"/>
          <w:szCs w:val="24"/>
        </w:rPr>
        <w:t>MENZELLA, 2025). O incremento dessas células inflamatórias correlaciona-se com o agravamento do quadro clínico, a hipersecreção crônica de muco e alterações estruturais na árvore brônquica, fatores que culminam no aprisionamento aéreo alveolar (HERNÁNDEZ MARTÍNEZ et al., 2022).</w:t>
      </w:r>
    </w:p>
    <w:p w14:paraId="3F99D529" w14:textId="77777777" w:rsidR="00AC300C" w:rsidRPr="00622B02" w:rsidRDefault="001E150A" w:rsidP="00622B02">
      <w:pPr>
        <w:spacing w:before="240" w:after="240" w:line="360" w:lineRule="auto"/>
        <w:jc w:val="both"/>
        <w:rPr>
          <w:sz w:val="24"/>
          <w:szCs w:val="24"/>
        </w:rPr>
      </w:pPr>
      <w:r w:rsidRPr="00622B02">
        <w:rPr>
          <w:sz w:val="24"/>
          <w:szCs w:val="24"/>
        </w:rPr>
        <w:t>Reconhece-se, atualmente, que a DPOC engloba diferentes fenótipos clínicos e inflamatórios. Nesse contexto, o fenótipo eosinofílico tem despertado crescente interesse devido às evidências que o associam a melhor resposta ao tratamento com corticosteroides inalatórios e a características clínicas distintas, especialmente no que se refere ao risco e ao manejo das exacerbações (FERRARI et al., 2022).</w:t>
      </w:r>
    </w:p>
    <w:p w14:paraId="3F99D52A" w14:textId="77777777" w:rsidR="00AC300C" w:rsidRPr="00622B02" w:rsidRDefault="001E150A" w:rsidP="00622B02">
      <w:pPr>
        <w:spacing w:before="240" w:after="240" w:line="360" w:lineRule="auto"/>
        <w:jc w:val="both"/>
        <w:rPr>
          <w:sz w:val="24"/>
          <w:szCs w:val="24"/>
        </w:rPr>
      </w:pPr>
      <w:r w:rsidRPr="00622B02">
        <w:rPr>
          <w:rFonts w:eastAsia="Arial Unicode MS"/>
          <w:sz w:val="24"/>
          <w:szCs w:val="24"/>
        </w:rPr>
        <w:t>O relatório GOLD 2026 reforça a utilização da contagem de eosinófilos sanguíneos como biomarcador na tomada de decisão terapêutica. As atualizações mais recentes passaram a classificar no grupo E os pacientes que apresentam pelo menos uma exacerbação moderada ou uma exacerbação grave, independentemente da intensidade dos sintomas. Nessa população, a contagem de eosinófilos auxilia na definição do tratamento inicial: indivíduos sem eosinofilia significativa mantêm recomendação preferencial para dupla broncod</w:t>
      </w:r>
      <w:r w:rsidRPr="00622B02">
        <w:rPr>
          <w:rFonts w:eastAsia="Arial Unicode MS"/>
          <w:sz w:val="24"/>
          <w:szCs w:val="24"/>
        </w:rPr>
        <w:t>ilatação, enquanto aqueles com contagem de eosinófilos ≥300 células/µL apresentam indicação de terapia tripla precoce, composta por dois broncodilatadores de longa ação associados a corticosteroide inalatório (GOLD, 2026).</w:t>
      </w:r>
    </w:p>
    <w:p w14:paraId="3F99D52B" w14:textId="77777777" w:rsidR="00AC300C" w:rsidRPr="00622B02" w:rsidRDefault="001E150A" w:rsidP="00622B02">
      <w:pPr>
        <w:spacing w:before="240" w:after="240" w:line="360" w:lineRule="auto"/>
        <w:jc w:val="both"/>
        <w:rPr>
          <w:sz w:val="24"/>
          <w:szCs w:val="24"/>
        </w:rPr>
      </w:pPr>
      <w:r w:rsidRPr="00622B02">
        <w:rPr>
          <w:sz w:val="24"/>
          <w:szCs w:val="24"/>
        </w:rPr>
        <w:lastRenderedPageBreak/>
        <w:t>Diante desse cenário, a identificação de biomarcadores capazes de auxiliar na estratificação dos pacientes e na personalização do tratamento tem ganhado destaque na prática clínica. Entre eles, a contagem de eosinófilos sanguíneos emerge como uma ferramenta promissora para a definição de estratégias terapêuticas mais eficazes, especialmente no contexto do uso de corticosteroides inalatórios e da prevenção de exacerbações. Assim, esta revisão integrativa tem como objetivo analisar as evidências científicas a</w:t>
      </w:r>
      <w:r w:rsidRPr="00622B02">
        <w:rPr>
          <w:sz w:val="24"/>
          <w:szCs w:val="24"/>
        </w:rPr>
        <w:t>cerca da eosinofilia como biomarcador na DPOC, discutindo seu papel na caracterização dos fenótipos da doença, na predição de desfechos clínicos e na orientação do tratamento conforme as recomendações mais recentes.</w:t>
      </w:r>
    </w:p>
    <w:p w14:paraId="3F99D52C" w14:textId="77777777" w:rsidR="00AC300C" w:rsidRPr="00622B02" w:rsidRDefault="00AC300C" w:rsidP="00622B02">
      <w:pPr>
        <w:spacing w:line="360" w:lineRule="auto"/>
        <w:jc w:val="both"/>
        <w:rPr>
          <w:sz w:val="24"/>
          <w:szCs w:val="24"/>
        </w:rPr>
      </w:pPr>
    </w:p>
    <w:p w14:paraId="3F99D52D" w14:textId="77777777" w:rsidR="00AC300C" w:rsidRPr="00622B02" w:rsidRDefault="001E150A" w:rsidP="00622B02">
      <w:pPr>
        <w:spacing w:line="360" w:lineRule="auto"/>
        <w:jc w:val="both"/>
        <w:rPr>
          <w:b/>
          <w:bCs/>
          <w:sz w:val="24"/>
          <w:szCs w:val="24"/>
        </w:rPr>
      </w:pPr>
      <w:r w:rsidRPr="00622B02">
        <w:rPr>
          <w:b/>
          <w:bCs/>
          <w:sz w:val="24"/>
          <w:szCs w:val="24"/>
        </w:rPr>
        <w:t>METODOLOGIA:</w:t>
      </w:r>
    </w:p>
    <w:p w14:paraId="3F99D52E" w14:textId="77777777" w:rsidR="00AC300C" w:rsidRPr="00622B02" w:rsidRDefault="001E150A" w:rsidP="00622B02">
      <w:pPr>
        <w:spacing w:before="240" w:after="240" w:line="360" w:lineRule="auto"/>
        <w:jc w:val="both"/>
        <w:rPr>
          <w:sz w:val="24"/>
          <w:szCs w:val="24"/>
        </w:rPr>
      </w:pPr>
      <w:r w:rsidRPr="00622B02">
        <w:rPr>
          <w:sz w:val="24"/>
          <w:szCs w:val="24"/>
        </w:rPr>
        <w:t>O presente estudo se caracteriza como uma revisão integrativa da literatura, de natureza qualitativa e descritiva, focada nas atualizações do manejo terapêutico da Doença Pulmonar Obstrutiva Crônica (DPOC) associadas ao perfil hematológico de eosinófilos.</w:t>
      </w:r>
    </w:p>
    <w:p w14:paraId="3F99D52F" w14:textId="7B32E844" w:rsidR="00AC300C" w:rsidRPr="00622B02" w:rsidRDefault="001E150A" w:rsidP="00622B02">
      <w:pPr>
        <w:spacing w:before="240" w:after="240" w:line="360" w:lineRule="auto"/>
        <w:jc w:val="both"/>
        <w:rPr>
          <w:sz w:val="24"/>
          <w:szCs w:val="24"/>
        </w:rPr>
      </w:pPr>
      <w:r w:rsidRPr="00622B02">
        <w:rPr>
          <w:sz w:val="24"/>
          <w:szCs w:val="24"/>
        </w:rPr>
        <w:t>O levantamento bibliográfico foi conduzido por meio de consultas às bases de dados eletrônicas PubMed, SciELO (</w:t>
      </w:r>
      <w:r w:rsidRPr="00622B02">
        <w:rPr>
          <w:i/>
          <w:iCs/>
          <w:sz w:val="24"/>
          <w:szCs w:val="24"/>
        </w:rPr>
        <w:t>Scientific Electronic Library Online</w:t>
      </w:r>
      <w:r w:rsidRPr="00622B02">
        <w:rPr>
          <w:sz w:val="24"/>
          <w:szCs w:val="24"/>
        </w:rPr>
        <w:t xml:space="preserve">) e Google Acadêmico, além da análise da diretriz vigente da </w:t>
      </w:r>
      <w:r w:rsidRPr="00622B02">
        <w:rPr>
          <w:i/>
          <w:iCs/>
          <w:sz w:val="24"/>
          <w:szCs w:val="24"/>
        </w:rPr>
        <w:t>Global Initiative for Chronic Obstructive Lung Disease</w:t>
      </w:r>
      <w:r w:rsidRPr="00622B02">
        <w:rPr>
          <w:sz w:val="24"/>
          <w:szCs w:val="24"/>
        </w:rPr>
        <w:t xml:space="preserve"> (GOLD). A busca foi estruturada a partir dos Descritores em Ciências da Saúde (DeCS) e termos correspondentes em inglês: “DPOC” (</w:t>
      </w:r>
      <w:r w:rsidRPr="00622B02">
        <w:rPr>
          <w:i/>
          <w:iCs/>
          <w:sz w:val="24"/>
          <w:szCs w:val="24"/>
        </w:rPr>
        <w:t>COPD</w:t>
      </w:r>
      <w:r w:rsidRPr="00622B02">
        <w:rPr>
          <w:sz w:val="24"/>
          <w:szCs w:val="24"/>
        </w:rPr>
        <w:t>), “Eosinófilos” (</w:t>
      </w:r>
      <w:r w:rsidRPr="00622B02">
        <w:rPr>
          <w:i/>
          <w:iCs/>
          <w:sz w:val="24"/>
          <w:szCs w:val="24"/>
        </w:rPr>
        <w:t>Eosinophils</w:t>
      </w:r>
      <w:r w:rsidRPr="00622B02">
        <w:rPr>
          <w:sz w:val="24"/>
          <w:szCs w:val="24"/>
        </w:rPr>
        <w:t>) e “Tratamento” (</w:t>
      </w:r>
      <w:r w:rsidRPr="00622B02">
        <w:rPr>
          <w:i/>
          <w:iCs/>
          <w:sz w:val="24"/>
          <w:szCs w:val="24"/>
        </w:rPr>
        <w:t>Therapy/Treatment</w:t>
      </w:r>
      <w:r w:rsidRPr="00622B02">
        <w:rPr>
          <w:sz w:val="24"/>
          <w:szCs w:val="24"/>
        </w:rPr>
        <w:t xml:space="preserve">). Para a combinação dos descritores e estruturação das estratégias de busca, foram utilizados os operadores booleanos </w:t>
      </w:r>
      <w:r w:rsidRPr="00622B02">
        <w:rPr>
          <w:b/>
          <w:bCs/>
          <w:sz w:val="24"/>
          <w:szCs w:val="24"/>
        </w:rPr>
        <w:t>AND/E</w:t>
      </w:r>
      <w:r w:rsidRPr="00622B02">
        <w:rPr>
          <w:sz w:val="24"/>
          <w:szCs w:val="24"/>
        </w:rPr>
        <w:t xml:space="preserve"> </w:t>
      </w:r>
      <w:r w:rsidRPr="00622B02">
        <w:rPr>
          <w:b/>
          <w:bCs/>
          <w:sz w:val="24"/>
          <w:szCs w:val="24"/>
        </w:rPr>
        <w:t>OR/OU</w:t>
      </w:r>
      <w:r w:rsidRPr="00622B02">
        <w:rPr>
          <w:sz w:val="24"/>
          <w:szCs w:val="24"/>
        </w:rPr>
        <w:t>. Os cruzamentos foram realizados utilizando parênteses para direcionar a lógica de busca nas plataformas, configurando as estratégias: COPD OR "Pulmonary Disease, Chronic Obstructive" AND “Eosinophils” AND “Therapy OR Treatment” no PubMed; e “DPOC OR "Doença Pulmonar Obstrutiva Crônica" AND “Eosinófilos” AND “Tratamento OR Terapia” na SciELO e Google Acadêmico.</w:t>
      </w:r>
    </w:p>
    <w:p w14:paraId="3F99D530" w14:textId="77777777" w:rsidR="00AC300C" w:rsidRPr="00622B02" w:rsidRDefault="001E150A" w:rsidP="00622B02">
      <w:pPr>
        <w:spacing w:before="240" w:after="240" w:line="360" w:lineRule="auto"/>
        <w:jc w:val="both"/>
        <w:rPr>
          <w:b/>
          <w:bCs/>
          <w:sz w:val="24"/>
          <w:szCs w:val="24"/>
        </w:rPr>
      </w:pPr>
      <w:r w:rsidRPr="00622B02">
        <w:rPr>
          <w:b/>
          <w:bCs/>
          <w:sz w:val="24"/>
          <w:szCs w:val="24"/>
        </w:rPr>
        <w:t>Critérios de elegibilidade:</w:t>
      </w:r>
    </w:p>
    <w:p w14:paraId="3F99D531" w14:textId="77777777" w:rsidR="00AC300C" w:rsidRPr="00622B02" w:rsidRDefault="001E150A" w:rsidP="00622B02">
      <w:pPr>
        <w:numPr>
          <w:ilvl w:val="0"/>
          <w:numId w:val="2"/>
        </w:numPr>
        <w:spacing w:before="240" w:line="360" w:lineRule="auto"/>
        <w:jc w:val="both"/>
        <w:rPr>
          <w:sz w:val="24"/>
          <w:szCs w:val="24"/>
        </w:rPr>
      </w:pPr>
      <w:r w:rsidRPr="00622B02">
        <w:rPr>
          <w:sz w:val="24"/>
          <w:szCs w:val="24"/>
        </w:rPr>
        <w:t>Artigos publicados no recorte temporal entre 2020 e 2026;</w:t>
      </w:r>
    </w:p>
    <w:p w14:paraId="3F99D532" w14:textId="77777777" w:rsidR="00AC300C" w:rsidRPr="00622B02" w:rsidRDefault="001E150A" w:rsidP="00622B02">
      <w:pPr>
        <w:numPr>
          <w:ilvl w:val="0"/>
          <w:numId w:val="2"/>
        </w:numPr>
        <w:spacing w:line="360" w:lineRule="auto"/>
        <w:jc w:val="both"/>
        <w:rPr>
          <w:sz w:val="24"/>
          <w:szCs w:val="24"/>
        </w:rPr>
      </w:pPr>
      <w:r w:rsidRPr="00622B02">
        <w:rPr>
          <w:sz w:val="24"/>
          <w:szCs w:val="24"/>
        </w:rPr>
        <w:lastRenderedPageBreak/>
        <w:t>Textos disponíveis na íntegra e em acesso aberto;</w:t>
      </w:r>
    </w:p>
    <w:p w14:paraId="3F99D533" w14:textId="77777777" w:rsidR="00AC300C" w:rsidRPr="00622B02" w:rsidRDefault="001E150A" w:rsidP="00622B02">
      <w:pPr>
        <w:numPr>
          <w:ilvl w:val="0"/>
          <w:numId w:val="2"/>
        </w:numPr>
        <w:spacing w:line="360" w:lineRule="auto"/>
        <w:jc w:val="both"/>
        <w:rPr>
          <w:sz w:val="24"/>
          <w:szCs w:val="24"/>
        </w:rPr>
      </w:pPr>
      <w:r w:rsidRPr="00622B02">
        <w:rPr>
          <w:sz w:val="24"/>
          <w:szCs w:val="24"/>
        </w:rPr>
        <w:t>Idiomas português, inglês ou espanhol;</w:t>
      </w:r>
    </w:p>
    <w:p w14:paraId="3F99D534" w14:textId="77777777" w:rsidR="00AC300C" w:rsidRPr="00622B02" w:rsidRDefault="001E150A" w:rsidP="00622B02">
      <w:pPr>
        <w:numPr>
          <w:ilvl w:val="0"/>
          <w:numId w:val="2"/>
        </w:numPr>
        <w:spacing w:after="240" w:line="360" w:lineRule="auto"/>
        <w:jc w:val="both"/>
        <w:rPr>
          <w:sz w:val="24"/>
          <w:szCs w:val="24"/>
        </w:rPr>
      </w:pPr>
      <w:r w:rsidRPr="00622B02">
        <w:rPr>
          <w:sz w:val="24"/>
          <w:szCs w:val="24"/>
        </w:rPr>
        <w:t>Relevância temática direta quanto às atualizações no manejo clínico e biomarcadores.</w:t>
      </w:r>
    </w:p>
    <w:p w14:paraId="3F99D535" w14:textId="77777777" w:rsidR="00AC300C" w:rsidRPr="00622B02" w:rsidRDefault="001E150A" w:rsidP="00622B02">
      <w:pPr>
        <w:spacing w:before="240" w:after="240" w:line="360" w:lineRule="auto"/>
        <w:jc w:val="both"/>
        <w:rPr>
          <w:b/>
          <w:bCs/>
          <w:sz w:val="24"/>
          <w:szCs w:val="24"/>
        </w:rPr>
      </w:pPr>
      <w:r w:rsidRPr="00622B02">
        <w:rPr>
          <w:b/>
          <w:bCs/>
          <w:sz w:val="24"/>
          <w:szCs w:val="24"/>
        </w:rPr>
        <w:t>Critérios de Exclusão:</w:t>
      </w:r>
    </w:p>
    <w:p w14:paraId="3F99D536" w14:textId="77777777" w:rsidR="00AC300C" w:rsidRPr="00622B02" w:rsidRDefault="001E150A" w:rsidP="00622B02">
      <w:pPr>
        <w:numPr>
          <w:ilvl w:val="0"/>
          <w:numId w:val="1"/>
        </w:numPr>
        <w:spacing w:before="240" w:line="360" w:lineRule="auto"/>
        <w:jc w:val="both"/>
        <w:rPr>
          <w:sz w:val="24"/>
          <w:szCs w:val="24"/>
        </w:rPr>
      </w:pPr>
      <w:r w:rsidRPr="00622B02">
        <w:rPr>
          <w:sz w:val="24"/>
          <w:szCs w:val="24"/>
        </w:rPr>
        <w:t>Artigos duplicados entre as bases de dados;</w:t>
      </w:r>
    </w:p>
    <w:p w14:paraId="3F99D537" w14:textId="77777777" w:rsidR="00AC300C" w:rsidRPr="00622B02" w:rsidRDefault="001E150A" w:rsidP="00622B02">
      <w:pPr>
        <w:numPr>
          <w:ilvl w:val="0"/>
          <w:numId w:val="1"/>
        </w:numPr>
        <w:spacing w:line="360" w:lineRule="auto"/>
        <w:jc w:val="both"/>
        <w:rPr>
          <w:sz w:val="24"/>
          <w:szCs w:val="24"/>
        </w:rPr>
      </w:pPr>
      <w:r w:rsidRPr="00622B02">
        <w:rPr>
          <w:sz w:val="24"/>
          <w:szCs w:val="24"/>
        </w:rPr>
        <w:t>Estudos que não abordavam diretamente a relação entre eosinófilos e o manejo terapêutico (ex: artigos focados exclusivamente em outras comorbidades ou outros biomarcadores);</w:t>
      </w:r>
    </w:p>
    <w:p w14:paraId="3F99D538" w14:textId="77777777" w:rsidR="00AC300C" w:rsidRPr="00622B02" w:rsidRDefault="001E150A" w:rsidP="00622B02">
      <w:pPr>
        <w:numPr>
          <w:ilvl w:val="0"/>
          <w:numId w:val="1"/>
        </w:numPr>
        <w:spacing w:after="240" w:line="360" w:lineRule="auto"/>
        <w:jc w:val="both"/>
        <w:rPr>
          <w:sz w:val="24"/>
          <w:szCs w:val="24"/>
        </w:rPr>
      </w:pPr>
      <w:r w:rsidRPr="00622B02">
        <w:rPr>
          <w:sz w:val="24"/>
          <w:szCs w:val="24"/>
        </w:rPr>
        <w:t>Relatos de caso isolados, revisões narrativas, cartas ao editor, resumos de congressos e capítulos de livros.</w:t>
      </w:r>
    </w:p>
    <w:p w14:paraId="3F99D539" w14:textId="77777777" w:rsidR="00AC300C" w:rsidRPr="00622B02" w:rsidRDefault="001E150A" w:rsidP="00622B02">
      <w:pPr>
        <w:spacing w:before="240" w:after="240" w:line="360" w:lineRule="auto"/>
        <w:jc w:val="both"/>
        <w:rPr>
          <w:sz w:val="24"/>
          <w:szCs w:val="24"/>
        </w:rPr>
      </w:pPr>
      <w:r w:rsidRPr="00622B02">
        <w:rPr>
          <w:sz w:val="24"/>
          <w:szCs w:val="24"/>
        </w:rPr>
        <w:t>A avaliação da qualidade metodológica dos 12 artigos selecionados foi garantida de forma intrínseca mediante a aplicação rigorosa dos critérios de elegibilidade estabelecidos, além da leitura crítica e independente do texto completo de cada publicação, assegurando que os estudos selecionados apresentassem desenhos metodológicos claros e robustos para responder ao objetivo desta revisão.</w:t>
      </w:r>
    </w:p>
    <w:p w14:paraId="3F99D53A" w14:textId="77777777" w:rsidR="00AC300C" w:rsidRPr="00622B02" w:rsidRDefault="001E150A" w:rsidP="00622B02">
      <w:pPr>
        <w:spacing w:before="240" w:after="240" w:line="360" w:lineRule="auto"/>
        <w:jc w:val="both"/>
        <w:rPr>
          <w:sz w:val="24"/>
          <w:szCs w:val="24"/>
        </w:rPr>
      </w:pPr>
      <w:r w:rsidRPr="00622B02">
        <w:rPr>
          <w:sz w:val="24"/>
          <w:szCs w:val="24"/>
        </w:rPr>
        <w:t>O processo detalhado de busca, triagem, elegibilidade e inclusão final das publicações foi sistematizado e documentado de forma visual. Para garantir a transparência e a reprodutibilidade desta seleção, as etapas foram estruturadas em conformidade com as diretrizes do modelo internacional Preferred Reporting Items for Systematic Reviews and Meta-Analyses (PRISMA 2020), conforme apresentado na Figura 1:</w:t>
      </w:r>
    </w:p>
    <w:p w14:paraId="3F99D53B" w14:textId="77777777" w:rsidR="00AC300C" w:rsidRPr="00622B02" w:rsidRDefault="001E150A" w:rsidP="00622B02">
      <w:pPr>
        <w:spacing w:before="240" w:after="240" w:line="360" w:lineRule="auto"/>
        <w:jc w:val="both"/>
        <w:rPr>
          <w:sz w:val="24"/>
          <w:szCs w:val="24"/>
        </w:rPr>
      </w:pPr>
      <w:r w:rsidRPr="00622B02">
        <w:rPr>
          <w:noProof/>
          <w:sz w:val="24"/>
          <w:szCs w:val="24"/>
        </w:rPr>
        <w:lastRenderedPageBreak/>
        <w:drawing>
          <wp:inline distT="114300" distB="114300" distL="114300" distR="114300" wp14:anchorId="3F99D56A" wp14:editId="3F99D56B">
            <wp:extent cx="6071013" cy="262285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071013" cy="2622858"/>
                    </a:xfrm>
                    <a:prstGeom prst="rect">
                      <a:avLst/>
                    </a:prstGeom>
                    <a:ln/>
                  </pic:spPr>
                </pic:pic>
              </a:graphicData>
            </a:graphic>
          </wp:inline>
        </w:drawing>
      </w:r>
    </w:p>
    <w:p w14:paraId="3F99D53D" w14:textId="4C573476" w:rsidR="00AC300C" w:rsidRPr="00EA0B59" w:rsidRDefault="001E150A" w:rsidP="00622B02">
      <w:pPr>
        <w:spacing w:line="360" w:lineRule="auto"/>
        <w:jc w:val="both"/>
        <w:rPr>
          <w:sz w:val="20"/>
          <w:szCs w:val="20"/>
        </w:rPr>
      </w:pPr>
      <w:r w:rsidRPr="00EA0B59">
        <w:rPr>
          <w:sz w:val="20"/>
          <w:szCs w:val="20"/>
        </w:rPr>
        <w:t>Figura 1</w:t>
      </w:r>
      <w:r w:rsidR="00F07138" w:rsidRPr="00EA0B59">
        <w:rPr>
          <w:sz w:val="20"/>
          <w:szCs w:val="20"/>
        </w:rPr>
        <w:t xml:space="preserve"> </w:t>
      </w:r>
      <w:r w:rsidR="00EA0B59" w:rsidRPr="00EA0B59">
        <w:rPr>
          <w:sz w:val="20"/>
          <w:szCs w:val="20"/>
        </w:rPr>
        <w:t>-</w:t>
      </w:r>
      <w:r w:rsidR="00F07138" w:rsidRPr="00EA0B59">
        <w:rPr>
          <w:sz w:val="20"/>
          <w:szCs w:val="20"/>
        </w:rPr>
        <w:t xml:space="preserve"> </w:t>
      </w:r>
      <w:r w:rsidR="00EA0B59" w:rsidRPr="00EA0B59">
        <w:rPr>
          <w:sz w:val="20"/>
          <w:szCs w:val="20"/>
        </w:rPr>
        <w:t>Elaborada pelos autores</w:t>
      </w:r>
    </w:p>
    <w:p w14:paraId="6A29455F" w14:textId="77777777" w:rsidR="00EA0B59" w:rsidRPr="00622B02" w:rsidRDefault="00EA0B59" w:rsidP="00622B02">
      <w:pPr>
        <w:spacing w:line="360" w:lineRule="auto"/>
        <w:jc w:val="both"/>
        <w:rPr>
          <w:b/>
          <w:bCs/>
          <w:sz w:val="24"/>
          <w:szCs w:val="24"/>
        </w:rPr>
      </w:pPr>
    </w:p>
    <w:p w14:paraId="3F99D53E" w14:textId="77777777" w:rsidR="00AC300C" w:rsidRPr="00622B02" w:rsidRDefault="001E150A" w:rsidP="00622B02">
      <w:pPr>
        <w:spacing w:line="360" w:lineRule="auto"/>
        <w:jc w:val="both"/>
        <w:rPr>
          <w:b/>
          <w:bCs/>
          <w:sz w:val="24"/>
          <w:szCs w:val="24"/>
        </w:rPr>
      </w:pPr>
      <w:r w:rsidRPr="00622B02">
        <w:rPr>
          <w:b/>
          <w:bCs/>
          <w:sz w:val="24"/>
          <w:szCs w:val="24"/>
        </w:rPr>
        <w:t>DISCUSSÃO:</w:t>
      </w:r>
    </w:p>
    <w:p w14:paraId="3F99D53F" w14:textId="77777777" w:rsidR="00AC300C" w:rsidRPr="00622B02" w:rsidRDefault="00AC300C" w:rsidP="00622B02">
      <w:pPr>
        <w:spacing w:line="360" w:lineRule="auto"/>
        <w:jc w:val="both"/>
        <w:rPr>
          <w:b/>
          <w:bCs/>
          <w:sz w:val="24"/>
          <w:szCs w:val="24"/>
        </w:rPr>
      </w:pPr>
    </w:p>
    <w:p w14:paraId="3F99D540" w14:textId="77777777" w:rsidR="00AC300C" w:rsidRPr="00622B02" w:rsidRDefault="001E150A" w:rsidP="00622B02">
      <w:pPr>
        <w:spacing w:line="360" w:lineRule="auto"/>
        <w:jc w:val="both"/>
        <w:rPr>
          <w:sz w:val="24"/>
          <w:szCs w:val="24"/>
        </w:rPr>
      </w:pPr>
      <w:r w:rsidRPr="00622B02">
        <w:rPr>
          <w:sz w:val="24"/>
          <w:szCs w:val="24"/>
        </w:rPr>
        <w:t>A presente revisão integrativa demonstrou que a contagem de eosinófilos sanguíneos vem consolidando seu papel como biomarcador relevante na abordagem terapêutica da Doença Pulmonar Obstrutiva Crônica (DPOC), especialmente no contexto da medicina personalizada. Embora tradicionalmente associada a um perfil inflamatório predominantemente neutrofílico, evidências recentes indicam que uma parcela significativa dos pacientes apresenta componente eosinofílico, o qual influencia o comportamento clínico da doença e</w:t>
      </w:r>
      <w:r w:rsidRPr="00622B02">
        <w:rPr>
          <w:sz w:val="24"/>
          <w:szCs w:val="24"/>
        </w:rPr>
        <w:t xml:space="preserve"> a resposta ao tratamento.</w:t>
      </w:r>
    </w:p>
    <w:p w14:paraId="3F99D541" w14:textId="77777777" w:rsidR="00AC300C" w:rsidRPr="00622B02" w:rsidRDefault="00AC300C" w:rsidP="00622B02">
      <w:pPr>
        <w:widowControl w:val="0"/>
        <w:spacing w:line="360" w:lineRule="auto"/>
        <w:jc w:val="both"/>
        <w:rPr>
          <w:sz w:val="24"/>
          <w:szCs w:val="24"/>
        </w:rPr>
      </w:pPr>
    </w:p>
    <w:p w14:paraId="3F99D542" w14:textId="77777777" w:rsidR="00AC300C" w:rsidRPr="00622B02" w:rsidRDefault="001E150A" w:rsidP="00622B02">
      <w:pPr>
        <w:widowControl w:val="0"/>
        <w:spacing w:line="360" w:lineRule="auto"/>
        <w:jc w:val="both"/>
        <w:rPr>
          <w:sz w:val="24"/>
          <w:szCs w:val="24"/>
        </w:rPr>
      </w:pPr>
      <w:r w:rsidRPr="00622B02">
        <w:rPr>
          <w:sz w:val="24"/>
          <w:szCs w:val="24"/>
        </w:rPr>
        <w:t xml:space="preserve">Os estudos analisados demonstram que a eosinofilia sanguínea apresenta associação consistente com maior benefício clínico do uso de corticosteroides inalatórios (CI), sobretudo em indivíduos com histórico de exacerbações frequentes. Nesse contexto, a inflamação eosinofílica deve ser compreendida não apenas como marcador inflamatório, mas como uma característica tratável (“treatable trait”), capaz de orientar decisões terapêuticas individualizadas (DAVID et al., 2021). </w:t>
      </w:r>
    </w:p>
    <w:p w14:paraId="3F99D543" w14:textId="77777777" w:rsidR="00AC300C" w:rsidRPr="00622B02" w:rsidRDefault="00AC300C" w:rsidP="00622B02">
      <w:pPr>
        <w:widowControl w:val="0"/>
        <w:spacing w:line="360" w:lineRule="auto"/>
        <w:jc w:val="both"/>
        <w:rPr>
          <w:sz w:val="24"/>
          <w:szCs w:val="24"/>
        </w:rPr>
      </w:pPr>
    </w:p>
    <w:p w14:paraId="3F99D544" w14:textId="77777777" w:rsidR="00AC300C" w:rsidRPr="00622B02" w:rsidRDefault="001E150A" w:rsidP="00622B02">
      <w:pPr>
        <w:widowControl w:val="0"/>
        <w:spacing w:line="360" w:lineRule="auto"/>
        <w:jc w:val="both"/>
        <w:rPr>
          <w:sz w:val="24"/>
          <w:szCs w:val="24"/>
        </w:rPr>
      </w:pPr>
      <w:r w:rsidRPr="00622B02">
        <w:rPr>
          <w:sz w:val="24"/>
          <w:szCs w:val="24"/>
        </w:rPr>
        <w:t xml:space="preserve">As recomendações mais recentes da Global Initiative for Chronic Obstructive Lung Disease, incorporaram formalmente a contagem de eosinófilos na definição do tratamento inicial da DPOC, especialmente nos pacientes classificados no grupo E. Segundo a diretriz, valores iguais ou superiores a 300 células/µL favorecem a </w:t>
      </w:r>
      <w:r w:rsidRPr="00622B02">
        <w:rPr>
          <w:sz w:val="24"/>
          <w:szCs w:val="24"/>
        </w:rPr>
        <w:lastRenderedPageBreak/>
        <w:t>introdução precoce da terapia tripla, composta por broncodilatadores de longa ação associados ao corticosteroide inalatório. Essa atualização representa mudança importante em relação ao modelo terapêutico tradicional baseado exclusivamente em sintomas e histórico de exacerbações (GOLD, 2026).</w:t>
      </w:r>
    </w:p>
    <w:p w14:paraId="3F99D545" w14:textId="77777777" w:rsidR="00AC300C" w:rsidRPr="00622B02" w:rsidRDefault="00AC300C" w:rsidP="00622B02">
      <w:pPr>
        <w:widowControl w:val="0"/>
        <w:spacing w:line="360" w:lineRule="auto"/>
        <w:jc w:val="both"/>
        <w:rPr>
          <w:sz w:val="24"/>
          <w:szCs w:val="24"/>
        </w:rPr>
      </w:pPr>
    </w:p>
    <w:p w14:paraId="3F99D546" w14:textId="77777777" w:rsidR="00AC300C" w:rsidRPr="00622B02" w:rsidRDefault="001E150A" w:rsidP="00622B02">
      <w:pPr>
        <w:widowControl w:val="0"/>
        <w:spacing w:line="360" w:lineRule="auto"/>
        <w:jc w:val="both"/>
        <w:rPr>
          <w:sz w:val="24"/>
          <w:szCs w:val="24"/>
        </w:rPr>
      </w:pPr>
      <w:r w:rsidRPr="00622B02">
        <w:rPr>
          <w:sz w:val="24"/>
          <w:szCs w:val="24"/>
        </w:rPr>
        <w:t>Entretanto, os resultados encontrados também evidenciam limitações na utilização isolada desse biomarcador. Foi observada variabilidade significativa dos níveis de eosinófilos ao longo do tempo, sugerindo que avaliações seriadas podem apresentar maior utilidade clínica do que medidas isoladas (MIRAVITLLES et al., 2021). Resultado semelhante foi identificado por outro estudo, no qual se demonstrou uma relativa instabilidade da contagem eosinofílica durante exacerbações agudas (CHEN et al., 2025).</w:t>
      </w:r>
    </w:p>
    <w:p w14:paraId="3F99D547" w14:textId="77777777" w:rsidR="00AC300C" w:rsidRPr="00622B02" w:rsidRDefault="00AC300C" w:rsidP="00622B02">
      <w:pPr>
        <w:widowControl w:val="0"/>
        <w:spacing w:line="360" w:lineRule="auto"/>
        <w:jc w:val="both"/>
        <w:rPr>
          <w:sz w:val="24"/>
          <w:szCs w:val="24"/>
        </w:rPr>
      </w:pPr>
    </w:p>
    <w:p w14:paraId="3F99D548" w14:textId="77777777" w:rsidR="00AC300C" w:rsidRPr="00622B02" w:rsidRDefault="001E150A" w:rsidP="00622B02">
      <w:pPr>
        <w:widowControl w:val="0"/>
        <w:spacing w:line="360" w:lineRule="auto"/>
        <w:jc w:val="both"/>
        <w:rPr>
          <w:sz w:val="24"/>
          <w:szCs w:val="24"/>
        </w:rPr>
      </w:pPr>
      <w:r w:rsidRPr="00622B02">
        <w:rPr>
          <w:rFonts w:eastAsia="Arial Unicode MS"/>
          <w:sz w:val="24"/>
          <w:szCs w:val="24"/>
        </w:rPr>
        <w:t>Outro aspecto relevante identificado foi a ausência de consenso absoluto quanto aos pontos de corte ideais para definição do fenótipo eosinofílico. Embora o valor ≥300 células/µL seja amplamente utilizado pelas diretrizes atuais, estudos indicam que a resposta aos corticosteroides pode ocorrer em faixas intermediárias e depender da interação com outros fatores clínicos, incluindo carga tabágica, gravidade da obstrução e histórico de exacerbações (MATHIOUDAKIS et al., 2024).</w:t>
      </w:r>
    </w:p>
    <w:p w14:paraId="3F99D549" w14:textId="77777777" w:rsidR="00AC300C" w:rsidRPr="00622B02" w:rsidRDefault="00AC300C" w:rsidP="00622B02">
      <w:pPr>
        <w:widowControl w:val="0"/>
        <w:spacing w:line="360" w:lineRule="auto"/>
        <w:jc w:val="both"/>
        <w:rPr>
          <w:sz w:val="24"/>
          <w:szCs w:val="24"/>
        </w:rPr>
      </w:pPr>
    </w:p>
    <w:p w14:paraId="3F99D54A" w14:textId="77777777" w:rsidR="00AC300C" w:rsidRPr="00622B02" w:rsidRDefault="001E150A" w:rsidP="00622B02">
      <w:pPr>
        <w:widowControl w:val="0"/>
        <w:spacing w:line="360" w:lineRule="auto"/>
        <w:jc w:val="both"/>
        <w:rPr>
          <w:sz w:val="24"/>
          <w:szCs w:val="24"/>
        </w:rPr>
      </w:pPr>
      <w:r w:rsidRPr="00622B02">
        <w:rPr>
          <w:sz w:val="24"/>
          <w:szCs w:val="24"/>
        </w:rPr>
        <w:t>Além do papel terapêutico, alguns estudos sugerem potencial valor prognóstico dos eosinófilos e foi observada associação entre perfis eosinofílicos e mortalidade em longo prazo (PRUDENTE et al., 2021). Estudos identificaram relação entre níveis circulantes de eosinófilos e alterações na progressão funcional pulmonar (FERRARI et al., 2022). Esses achados reforçam que o biomarcador pode contribuir não apenas para orientar intervenções farmacológicas, mas também para a estratificação de risco.</w:t>
      </w:r>
    </w:p>
    <w:p w14:paraId="3F99D54B" w14:textId="77777777" w:rsidR="00AC300C" w:rsidRPr="00622B02" w:rsidRDefault="00AC300C" w:rsidP="00622B02">
      <w:pPr>
        <w:widowControl w:val="0"/>
        <w:spacing w:line="360" w:lineRule="auto"/>
        <w:jc w:val="both"/>
        <w:rPr>
          <w:sz w:val="24"/>
          <w:szCs w:val="24"/>
        </w:rPr>
      </w:pPr>
    </w:p>
    <w:p w14:paraId="3F99D54C" w14:textId="49DA069A" w:rsidR="00AC300C" w:rsidRPr="00622B02" w:rsidRDefault="001E150A" w:rsidP="00622B02">
      <w:pPr>
        <w:widowControl w:val="0"/>
        <w:spacing w:line="360" w:lineRule="auto"/>
        <w:jc w:val="both"/>
        <w:rPr>
          <w:sz w:val="24"/>
          <w:szCs w:val="24"/>
        </w:rPr>
      </w:pPr>
      <w:r w:rsidRPr="00622B02">
        <w:rPr>
          <w:sz w:val="24"/>
          <w:szCs w:val="24"/>
        </w:rPr>
        <w:t xml:space="preserve">A evolução recente das pesquisas também aponta para expansão das estratégias terapêuticas voltadas ao perfil eosinofílico, incluindo agentes biológicos e pequenas moléculas direcionadas a vias inflamatórias específicas (RABAHI; PAVORD, 2025). Resultados promissores com terapias anti-IL-5, como </w:t>
      </w:r>
      <w:r w:rsidR="007F1749" w:rsidRPr="00622B02">
        <w:rPr>
          <w:sz w:val="24"/>
          <w:szCs w:val="24"/>
        </w:rPr>
        <w:t>o mepolizumab</w:t>
      </w:r>
      <w:r w:rsidRPr="00622B02">
        <w:rPr>
          <w:sz w:val="24"/>
          <w:szCs w:val="24"/>
        </w:rPr>
        <w:t xml:space="preserve"> e o benralizumab, especialmente em pacientes selecionados, embora ainda existam limitações relacionadas ao custo, disponibilidade e definição dos critérios de indicação (LOMBARDI; MENZELLA, 2025; </w:t>
      </w:r>
      <w:r w:rsidRPr="00622B02">
        <w:rPr>
          <w:sz w:val="24"/>
          <w:szCs w:val="24"/>
        </w:rPr>
        <w:t>HERNÁNDEZ MARTÍNEZ et al., 2022).</w:t>
      </w:r>
    </w:p>
    <w:p w14:paraId="3F99D54D" w14:textId="77777777" w:rsidR="00AC300C" w:rsidRPr="00622B02" w:rsidRDefault="00AC300C" w:rsidP="00622B02">
      <w:pPr>
        <w:widowControl w:val="0"/>
        <w:spacing w:line="360" w:lineRule="auto"/>
        <w:jc w:val="both"/>
        <w:rPr>
          <w:sz w:val="24"/>
          <w:szCs w:val="24"/>
        </w:rPr>
      </w:pPr>
    </w:p>
    <w:p w14:paraId="3F99D54E" w14:textId="77777777" w:rsidR="00AC300C" w:rsidRPr="00622B02" w:rsidRDefault="001E150A" w:rsidP="00622B02">
      <w:pPr>
        <w:widowControl w:val="0"/>
        <w:spacing w:line="360" w:lineRule="auto"/>
        <w:jc w:val="both"/>
        <w:rPr>
          <w:sz w:val="24"/>
          <w:szCs w:val="24"/>
        </w:rPr>
      </w:pPr>
      <w:r w:rsidRPr="00622B02">
        <w:rPr>
          <w:sz w:val="24"/>
          <w:szCs w:val="24"/>
        </w:rPr>
        <w:t>Dessa forma, os achados desta revisão sustentam que a contagem de eosinófilos constitui ferramenta complementar valiosa no manejo da DPOC, porém sua interpretação deve ocorrer de forma integrada ao contexto clínico, histórico de exacerbações, função pulmonar e demais características individuais do paciente.</w:t>
      </w:r>
    </w:p>
    <w:p w14:paraId="3F99D54F" w14:textId="77777777" w:rsidR="00AC300C" w:rsidRPr="00622B02" w:rsidRDefault="00AC300C" w:rsidP="00622B02">
      <w:pPr>
        <w:widowControl w:val="0"/>
        <w:spacing w:line="360" w:lineRule="auto"/>
        <w:jc w:val="both"/>
        <w:rPr>
          <w:sz w:val="24"/>
          <w:szCs w:val="24"/>
        </w:rPr>
      </w:pPr>
    </w:p>
    <w:p w14:paraId="3F99D550" w14:textId="77777777" w:rsidR="00AC300C" w:rsidRPr="00622B02" w:rsidRDefault="001E150A" w:rsidP="00622B02">
      <w:pPr>
        <w:spacing w:line="360" w:lineRule="auto"/>
        <w:jc w:val="both"/>
        <w:rPr>
          <w:b/>
          <w:bCs/>
          <w:sz w:val="24"/>
          <w:szCs w:val="24"/>
        </w:rPr>
      </w:pPr>
      <w:r w:rsidRPr="00622B02">
        <w:rPr>
          <w:b/>
          <w:bCs/>
          <w:sz w:val="24"/>
          <w:szCs w:val="24"/>
        </w:rPr>
        <w:t>CONCLUSÃO:</w:t>
      </w:r>
    </w:p>
    <w:p w14:paraId="3F99D551" w14:textId="77777777" w:rsidR="00AC300C" w:rsidRPr="00622B02" w:rsidRDefault="00AC300C" w:rsidP="00622B02">
      <w:pPr>
        <w:spacing w:line="360" w:lineRule="auto"/>
        <w:jc w:val="both"/>
        <w:rPr>
          <w:b/>
          <w:bCs/>
          <w:sz w:val="24"/>
          <w:szCs w:val="24"/>
        </w:rPr>
      </w:pPr>
    </w:p>
    <w:p w14:paraId="3F99D552" w14:textId="77777777" w:rsidR="00AC300C" w:rsidRPr="00622B02" w:rsidRDefault="001E150A" w:rsidP="00622B02">
      <w:pPr>
        <w:spacing w:line="360" w:lineRule="auto"/>
        <w:jc w:val="both"/>
        <w:rPr>
          <w:sz w:val="24"/>
          <w:szCs w:val="24"/>
        </w:rPr>
      </w:pPr>
      <w:r w:rsidRPr="00622B02">
        <w:rPr>
          <w:sz w:val="24"/>
          <w:szCs w:val="24"/>
        </w:rPr>
        <w:t>A presente revisão integrativa permitiu concluir que a contagem de eosinófilos sanguíneos representa um biomarcador de crescente relevância na personalização terapêutica da Doença Pulmonar Obstrutiva Crônica. As evidências analisadas demonstraram associação consistente entre eosinofilia e melhor resposta ao uso de corticosteroides inalatórios, especialmente em pacientes com maior risco de exacerbações (ACUÑA-KALDMAN, 2023).</w:t>
      </w:r>
    </w:p>
    <w:p w14:paraId="3F99D553" w14:textId="77777777" w:rsidR="00AC300C" w:rsidRPr="00622B02" w:rsidRDefault="00AC300C" w:rsidP="00622B02">
      <w:pPr>
        <w:spacing w:line="360" w:lineRule="auto"/>
        <w:jc w:val="both"/>
        <w:rPr>
          <w:sz w:val="24"/>
          <w:szCs w:val="24"/>
        </w:rPr>
      </w:pPr>
    </w:p>
    <w:p w14:paraId="3F99D554" w14:textId="77777777" w:rsidR="00AC300C" w:rsidRPr="00622B02" w:rsidRDefault="001E150A" w:rsidP="00622B02">
      <w:pPr>
        <w:spacing w:line="360" w:lineRule="auto"/>
        <w:jc w:val="both"/>
        <w:rPr>
          <w:sz w:val="24"/>
          <w:szCs w:val="24"/>
        </w:rPr>
      </w:pPr>
      <w:r w:rsidRPr="00622B02">
        <w:rPr>
          <w:sz w:val="24"/>
          <w:szCs w:val="24"/>
        </w:rPr>
        <w:t>As atualizações recentes das diretrizes internacionais consolidaram a incorporação dos eosinófilos no processo decisório terapêutico, fortalecendo a transição para modelos de tratamento mais individualizados e orientados por fenótipos clínicos (GOLD, 2026).</w:t>
      </w:r>
    </w:p>
    <w:p w14:paraId="3F99D555" w14:textId="77777777" w:rsidR="00AC300C" w:rsidRPr="00622B02" w:rsidRDefault="00AC300C" w:rsidP="00622B02">
      <w:pPr>
        <w:widowControl w:val="0"/>
        <w:spacing w:line="360" w:lineRule="auto"/>
        <w:jc w:val="both"/>
        <w:rPr>
          <w:sz w:val="24"/>
          <w:szCs w:val="24"/>
        </w:rPr>
      </w:pPr>
    </w:p>
    <w:p w14:paraId="3F99D556" w14:textId="77777777" w:rsidR="00AC300C" w:rsidRPr="00622B02" w:rsidRDefault="001E150A" w:rsidP="00622B02">
      <w:pPr>
        <w:widowControl w:val="0"/>
        <w:spacing w:line="360" w:lineRule="auto"/>
        <w:jc w:val="both"/>
        <w:rPr>
          <w:sz w:val="24"/>
          <w:szCs w:val="24"/>
        </w:rPr>
      </w:pPr>
      <w:r w:rsidRPr="00622B02">
        <w:rPr>
          <w:sz w:val="24"/>
          <w:szCs w:val="24"/>
        </w:rPr>
        <w:t>Apesar dos avanços observados, permanecem limitações relacionadas à variabilidade biológica da contagem eosinofílica e à ausência de padronização universal dos pontos de corte clínicos. Dessa forma, recomenda-se que esse biomarcador seja utilizado como instrumento complementar, e não isolado, na tomada de decisão clínica.</w:t>
      </w:r>
    </w:p>
    <w:p w14:paraId="3F99D557" w14:textId="77777777" w:rsidR="00AC300C" w:rsidRPr="00622B02" w:rsidRDefault="00AC300C" w:rsidP="00622B02">
      <w:pPr>
        <w:widowControl w:val="0"/>
        <w:spacing w:line="360" w:lineRule="auto"/>
        <w:jc w:val="both"/>
        <w:rPr>
          <w:sz w:val="24"/>
          <w:szCs w:val="24"/>
        </w:rPr>
      </w:pPr>
    </w:p>
    <w:p w14:paraId="3F99D558" w14:textId="77777777" w:rsidR="00AC300C" w:rsidRPr="00622B02" w:rsidRDefault="001E150A" w:rsidP="00622B02">
      <w:pPr>
        <w:widowControl w:val="0"/>
        <w:spacing w:line="360" w:lineRule="auto"/>
        <w:jc w:val="both"/>
        <w:rPr>
          <w:sz w:val="24"/>
          <w:szCs w:val="24"/>
        </w:rPr>
      </w:pPr>
      <w:r w:rsidRPr="00622B02">
        <w:rPr>
          <w:sz w:val="24"/>
          <w:szCs w:val="24"/>
        </w:rPr>
        <w:t>Por fim, destaca-se a necessidade de novos estudos longitudinais e ensaios clínicos com maior padronização metodológica para ampliar a compreensão do papel prognóstico dos eosinófilos e definir estratégias terapêuticas cada vez mais precisas para pacientes com DPOC.</w:t>
      </w:r>
    </w:p>
    <w:p w14:paraId="3F99D559" w14:textId="77777777" w:rsidR="00AC300C" w:rsidRPr="00622B02" w:rsidRDefault="00AC300C" w:rsidP="00622B02">
      <w:pPr>
        <w:spacing w:line="360" w:lineRule="auto"/>
        <w:jc w:val="both"/>
        <w:rPr>
          <w:b/>
          <w:bCs/>
          <w:sz w:val="24"/>
          <w:szCs w:val="24"/>
        </w:rPr>
      </w:pPr>
    </w:p>
    <w:p w14:paraId="3F99D55A" w14:textId="77777777" w:rsidR="00AC300C" w:rsidRPr="00622B02" w:rsidRDefault="00AC300C" w:rsidP="00622B02">
      <w:pPr>
        <w:spacing w:line="360" w:lineRule="auto"/>
        <w:jc w:val="both"/>
        <w:rPr>
          <w:b/>
          <w:bCs/>
          <w:sz w:val="24"/>
          <w:szCs w:val="24"/>
        </w:rPr>
      </w:pPr>
    </w:p>
    <w:p w14:paraId="3F99D55B" w14:textId="77777777" w:rsidR="00AC300C" w:rsidRPr="00622B02" w:rsidRDefault="001E150A" w:rsidP="00622B02">
      <w:pPr>
        <w:spacing w:line="360" w:lineRule="auto"/>
        <w:jc w:val="both"/>
        <w:rPr>
          <w:sz w:val="24"/>
          <w:szCs w:val="24"/>
        </w:rPr>
      </w:pPr>
      <w:r w:rsidRPr="00622B02">
        <w:rPr>
          <w:b/>
          <w:bCs/>
          <w:sz w:val="24"/>
          <w:szCs w:val="24"/>
        </w:rPr>
        <w:t>REFERÊNCIAS</w:t>
      </w:r>
      <w:r w:rsidRPr="00622B02">
        <w:rPr>
          <w:sz w:val="24"/>
          <w:szCs w:val="24"/>
        </w:rPr>
        <w:t>:</w:t>
      </w:r>
    </w:p>
    <w:p w14:paraId="3F99D55C" w14:textId="77777777" w:rsidR="00AC300C" w:rsidRPr="00622B02" w:rsidRDefault="00AC300C" w:rsidP="00622B02">
      <w:pPr>
        <w:spacing w:line="360" w:lineRule="auto"/>
        <w:jc w:val="both"/>
        <w:rPr>
          <w:sz w:val="24"/>
          <w:szCs w:val="24"/>
        </w:rPr>
      </w:pPr>
    </w:p>
    <w:p w14:paraId="3F99D55D" w14:textId="77777777" w:rsidR="00AC300C" w:rsidRPr="00622B02" w:rsidRDefault="001E150A" w:rsidP="00622B02">
      <w:pPr>
        <w:numPr>
          <w:ilvl w:val="0"/>
          <w:numId w:val="3"/>
        </w:numPr>
        <w:spacing w:before="240" w:line="360" w:lineRule="auto"/>
        <w:jc w:val="both"/>
        <w:rPr>
          <w:i/>
          <w:iCs/>
          <w:sz w:val="24"/>
          <w:szCs w:val="24"/>
        </w:rPr>
      </w:pPr>
      <w:r w:rsidRPr="00622B02">
        <w:rPr>
          <w:i/>
          <w:iCs/>
          <w:sz w:val="24"/>
          <w:szCs w:val="24"/>
        </w:rPr>
        <w:lastRenderedPageBreak/>
        <w:t xml:space="preserve">ACUÑA-KALDMAN, M. EPOC: ¿Es el recuento de eosinófilos en sangre un biomarcador predictivo de las exacerbaciones? </w:t>
      </w:r>
      <w:r w:rsidRPr="00622B02">
        <w:rPr>
          <w:b/>
          <w:bCs/>
          <w:i/>
          <w:iCs/>
          <w:sz w:val="24"/>
          <w:szCs w:val="24"/>
        </w:rPr>
        <w:t>Kompass Neumología</w:t>
      </w:r>
      <w:r w:rsidRPr="00622B02">
        <w:rPr>
          <w:i/>
          <w:iCs/>
          <w:sz w:val="24"/>
          <w:szCs w:val="24"/>
        </w:rPr>
        <w:t xml:space="preserve">, v. 5, n. 3, p. 109-111, 2023. Disponível em: </w:t>
      </w:r>
      <w:hyperlink r:id="rId9">
        <w:r w:rsidRPr="00622B02">
          <w:rPr>
            <w:i/>
            <w:iCs/>
            <w:color w:val="1155CC"/>
            <w:sz w:val="24"/>
            <w:szCs w:val="24"/>
            <w:u w:val="single"/>
          </w:rPr>
          <w:t>https://doi.org/10.1159/000533250</w:t>
        </w:r>
      </w:hyperlink>
      <w:r w:rsidRPr="00622B02">
        <w:rPr>
          <w:i/>
          <w:iCs/>
          <w:sz w:val="24"/>
          <w:szCs w:val="24"/>
        </w:rPr>
        <w:t>. Acesso em: 30 maio 2026.</w:t>
      </w:r>
    </w:p>
    <w:p w14:paraId="3F99D55E"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CHEN, Q. et al. Stability of blood eosinophils during acute exacerbations in patients with chronic obstructive pulmonary disease. </w:t>
      </w:r>
      <w:r w:rsidRPr="00622B02">
        <w:rPr>
          <w:b/>
          <w:bCs/>
          <w:i/>
          <w:iCs/>
          <w:sz w:val="24"/>
          <w:szCs w:val="24"/>
        </w:rPr>
        <w:t>BMC Pulmonary Medicine</w:t>
      </w:r>
      <w:r w:rsidRPr="00622B02">
        <w:rPr>
          <w:i/>
          <w:iCs/>
          <w:sz w:val="24"/>
          <w:szCs w:val="24"/>
        </w:rPr>
        <w:t xml:space="preserve">, v. 26, n. 1, p. 23, 2025. Disponível em: </w:t>
      </w:r>
      <w:hyperlink r:id="rId10">
        <w:r w:rsidRPr="00622B02">
          <w:rPr>
            <w:i/>
            <w:iCs/>
            <w:color w:val="1155CC"/>
            <w:sz w:val="24"/>
            <w:szCs w:val="24"/>
            <w:u w:val="single"/>
          </w:rPr>
          <w:t>https://doi.org/10.1186/s12890-025-04063-4</w:t>
        </w:r>
      </w:hyperlink>
      <w:r w:rsidRPr="00622B02">
        <w:rPr>
          <w:i/>
          <w:iCs/>
          <w:sz w:val="24"/>
          <w:szCs w:val="24"/>
        </w:rPr>
        <w:t>. Acesso em: 30 maio 2026.</w:t>
      </w:r>
    </w:p>
    <w:p w14:paraId="3F99D55F"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DAVID, B. et al. Eosinophilic inflammation in COPD: from an inflammatory marker to a treatable trait. </w:t>
      </w:r>
      <w:r w:rsidRPr="00622B02">
        <w:rPr>
          <w:b/>
          <w:bCs/>
          <w:i/>
          <w:iCs/>
          <w:sz w:val="24"/>
          <w:szCs w:val="24"/>
        </w:rPr>
        <w:t>Thorax</w:t>
      </w:r>
      <w:r w:rsidRPr="00622B02">
        <w:rPr>
          <w:i/>
          <w:iCs/>
          <w:sz w:val="24"/>
          <w:szCs w:val="24"/>
        </w:rPr>
        <w:t xml:space="preserve">, Londres, v. 76, n. 2, p. 188-195, 2021. Disponível em: </w:t>
      </w:r>
      <w:hyperlink r:id="rId11">
        <w:r w:rsidRPr="00622B02">
          <w:rPr>
            <w:i/>
            <w:iCs/>
            <w:color w:val="1155CC"/>
            <w:sz w:val="24"/>
            <w:szCs w:val="24"/>
            <w:u w:val="single"/>
          </w:rPr>
          <w:t>https://doi.org/10.1136/thoraxjnl-2020-215167</w:t>
        </w:r>
      </w:hyperlink>
      <w:r w:rsidRPr="00622B02">
        <w:rPr>
          <w:i/>
          <w:iCs/>
          <w:sz w:val="24"/>
          <w:szCs w:val="24"/>
        </w:rPr>
        <w:t>. Acesso em: 6 maio 2026.</w:t>
      </w:r>
    </w:p>
    <w:p w14:paraId="3F99D560"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ECHEVARRIA, C. et al. Admission blood eosinophil count, inpatient death and death at 1 year in exacerbating patients with COPD. </w:t>
      </w:r>
      <w:r w:rsidRPr="00622B02">
        <w:rPr>
          <w:b/>
          <w:bCs/>
          <w:i/>
          <w:iCs/>
          <w:sz w:val="24"/>
          <w:szCs w:val="24"/>
        </w:rPr>
        <w:t>Thorax</w:t>
      </w:r>
      <w:r w:rsidRPr="00622B02">
        <w:rPr>
          <w:i/>
          <w:iCs/>
          <w:sz w:val="24"/>
          <w:szCs w:val="24"/>
        </w:rPr>
        <w:t xml:space="preserve">, Londres, v. 78, n. 11, p. 1090-1096, 2023. Disponível em: </w:t>
      </w:r>
      <w:hyperlink r:id="rId12">
        <w:r w:rsidRPr="00622B02">
          <w:rPr>
            <w:i/>
            <w:iCs/>
            <w:color w:val="1155CC"/>
            <w:sz w:val="24"/>
            <w:szCs w:val="24"/>
            <w:u w:val="single"/>
          </w:rPr>
          <w:t>https://doi.org/10.1136/thorax-2022-219463</w:t>
        </w:r>
      </w:hyperlink>
      <w:r w:rsidRPr="00622B02">
        <w:rPr>
          <w:i/>
          <w:iCs/>
          <w:sz w:val="24"/>
          <w:szCs w:val="24"/>
        </w:rPr>
        <w:t>. Acesso em: 4 maio 2026.</w:t>
      </w:r>
    </w:p>
    <w:p w14:paraId="3F99D561"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rPr>
        <w:t xml:space="preserve">FERRARI, M. et al. Níveis de eosinófilos circulantes e declínio da função pulmonar em doença pulmonar obstrutiva crônica estável: um estudo longitudinal retrospectivo. </w:t>
      </w:r>
      <w:r w:rsidRPr="00622B02">
        <w:rPr>
          <w:b/>
          <w:bCs/>
          <w:i/>
          <w:iCs/>
          <w:sz w:val="24"/>
          <w:szCs w:val="24"/>
        </w:rPr>
        <w:t>Jornal Brasileiro de Pneumologia</w:t>
      </w:r>
      <w:r w:rsidRPr="00622B02">
        <w:rPr>
          <w:i/>
          <w:iCs/>
          <w:sz w:val="24"/>
          <w:szCs w:val="24"/>
        </w:rPr>
        <w:t xml:space="preserve">, v. 48, n. 6, e20220183, 2022. Disponível em: </w:t>
      </w:r>
      <w:hyperlink r:id="rId13">
        <w:r w:rsidRPr="00622B02">
          <w:rPr>
            <w:i/>
            <w:iCs/>
            <w:color w:val="1155CC"/>
            <w:sz w:val="24"/>
            <w:szCs w:val="24"/>
            <w:u w:val="single"/>
          </w:rPr>
          <w:t>https://doi.org/10.36416/1806-3756/e20220183</w:t>
        </w:r>
      </w:hyperlink>
      <w:r w:rsidRPr="00622B02">
        <w:rPr>
          <w:i/>
          <w:iCs/>
          <w:sz w:val="24"/>
          <w:szCs w:val="24"/>
        </w:rPr>
        <w:t>. Acesso em: 6 maio 2026.</w:t>
      </w:r>
    </w:p>
    <w:p w14:paraId="3F99D562"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GLOBAL INITIATIVE FOR CHRONIC OBSTRUCTIVE LUNG DISEASE (GOLD). </w:t>
      </w:r>
      <w:r w:rsidRPr="00622B02">
        <w:rPr>
          <w:b/>
          <w:bCs/>
          <w:i/>
          <w:iCs/>
          <w:sz w:val="24"/>
          <w:szCs w:val="24"/>
          <w:lang w:val="en-US"/>
        </w:rPr>
        <w:t xml:space="preserve">Global strategy for the diagnosis, management, and prevention of chronic obstructive pulmonary disease: </w:t>
      </w:r>
      <w:r w:rsidRPr="00622B02">
        <w:rPr>
          <w:i/>
          <w:iCs/>
          <w:sz w:val="24"/>
          <w:szCs w:val="24"/>
          <w:lang w:val="en-US"/>
        </w:rPr>
        <w:t xml:space="preserve">2026 report. </w:t>
      </w:r>
      <w:r w:rsidRPr="00622B02">
        <w:rPr>
          <w:i/>
          <w:iCs/>
          <w:sz w:val="24"/>
          <w:szCs w:val="24"/>
        </w:rPr>
        <w:t>[S. l.]: GOLD, 2026. Disponível em:</w:t>
      </w:r>
      <w:hyperlink r:id="rId14">
        <w:r w:rsidRPr="00622B02">
          <w:rPr>
            <w:i/>
            <w:iCs/>
            <w:sz w:val="24"/>
            <w:szCs w:val="24"/>
          </w:rPr>
          <w:t xml:space="preserve"> </w:t>
        </w:r>
      </w:hyperlink>
      <w:hyperlink r:id="rId15">
        <w:r w:rsidRPr="00622B02">
          <w:rPr>
            <w:i/>
            <w:iCs/>
            <w:color w:val="1155CC"/>
            <w:sz w:val="24"/>
            <w:szCs w:val="24"/>
            <w:u w:val="single"/>
          </w:rPr>
          <w:t>https://goldcopd.org</w:t>
        </w:r>
      </w:hyperlink>
      <w:r w:rsidRPr="00622B02">
        <w:rPr>
          <w:i/>
          <w:iCs/>
          <w:sz w:val="24"/>
          <w:szCs w:val="24"/>
        </w:rPr>
        <w:t>. Acesso em: 4 Maio 2026.</w:t>
      </w:r>
    </w:p>
    <w:p w14:paraId="3F99D563"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rPr>
        <w:t xml:space="preserve">HERNÁNDEZ MARTÍNEZ, A. et al. Importancia de la eosinofilia como biomarcador en la enfermedad pulmonar obstructiva crónica (EPOC). </w:t>
      </w:r>
      <w:r w:rsidRPr="00622B02">
        <w:rPr>
          <w:b/>
          <w:bCs/>
          <w:i/>
          <w:iCs/>
          <w:sz w:val="24"/>
          <w:szCs w:val="24"/>
        </w:rPr>
        <w:t>Revista</w:t>
      </w:r>
      <w:r w:rsidRPr="00622B02">
        <w:rPr>
          <w:i/>
          <w:iCs/>
          <w:sz w:val="24"/>
          <w:szCs w:val="24"/>
        </w:rPr>
        <w:t xml:space="preserve"> </w:t>
      </w:r>
      <w:r w:rsidRPr="00622B02">
        <w:rPr>
          <w:b/>
          <w:bCs/>
          <w:i/>
          <w:iCs/>
          <w:sz w:val="24"/>
          <w:szCs w:val="24"/>
        </w:rPr>
        <w:t>Argentina de Medicina</w:t>
      </w:r>
      <w:r w:rsidRPr="00622B02">
        <w:rPr>
          <w:i/>
          <w:iCs/>
          <w:sz w:val="24"/>
          <w:szCs w:val="24"/>
        </w:rPr>
        <w:t xml:space="preserve">, v. 10, n. 3, p. 190-194, 2022. Disponível em: </w:t>
      </w:r>
      <w:hyperlink r:id="rId16">
        <w:r w:rsidRPr="00622B02">
          <w:rPr>
            <w:i/>
            <w:iCs/>
            <w:color w:val="1155CC"/>
            <w:sz w:val="24"/>
            <w:szCs w:val="24"/>
            <w:u w:val="single"/>
          </w:rPr>
          <w:t>https://revistasam.com.ar/index.php/RAM/issue/view/46</w:t>
        </w:r>
      </w:hyperlink>
      <w:r w:rsidRPr="00622B02">
        <w:rPr>
          <w:i/>
          <w:iCs/>
          <w:sz w:val="24"/>
          <w:szCs w:val="24"/>
        </w:rPr>
        <w:t>. Acesso em: 6 maio 2026.</w:t>
      </w:r>
    </w:p>
    <w:p w14:paraId="3F99D564"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LOMBARDI, C.; MENZELLA, F. Chronic obstructive pulmonary disease, biological agents and small molecules: where do we stand? </w:t>
      </w:r>
      <w:r w:rsidRPr="00622B02">
        <w:rPr>
          <w:b/>
          <w:bCs/>
          <w:i/>
          <w:iCs/>
          <w:sz w:val="24"/>
          <w:szCs w:val="24"/>
          <w:lang w:val="en-US"/>
        </w:rPr>
        <w:t xml:space="preserve">Expert Review of </w:t>
      </w:r>
      <w:r w:rsidRPr="00622B02">
        <w:rPr>
          <w:b/>
          <w:bCs/>
          <w:i/>
          <w:iCs/>
          <w:sz w:val="24"/>
          <w:szCs w:val="24"/>
          <w:lang w:val="en-US"/>
        </w:rPr>
        <w:t>Clinical Immunology</w:t>
      </w:r>
      <w:r w:rsidRPr="00622B02">
        <w:rPr>
          <w:i/>
          <w:iCs/>
          <w:sz w:val="24"/>
          <w:szCs w:val="24"/>
          <w:lang w:val="en-US"/>
        </w:rPr>
        <w:t xml:space="preserve">, v. 21, n. 7, p. 909-919, 2025. Disponível em: </w:t>
      </w:r>
      <w:hyperlink r:id="rId17">
        <w:r w:rsidRPr="00622B02">
          <w:rPr>
            <w:i/>
            <w:iCs/>
            <w:color w:val="1155CC"/>
            <w:sz w:val="24"/>
            <w:szCs w:val="24"/>
            <w:u w:val="single"/>
            <w:lang w:val="en-US"/>
          </w:rPr>
          <w:t>https://doi.org/10.1080/1744666x.2025.2522266</w:t>
        </w:r>
      </w:hyperlink>
      <w:r w:rsidRPr="00622B02">
        <w:rPr>
          <w:i/>
          <w:iCs/>
          <w:sz w:val="24"/>
          <w:szCs w:val="24"/>
          <w:lang w:val="en-US"/>
        </w:rPr>
        <w:t xml:space="preserve">. </w:t>
      </w:r>
      <w:r w:rsidRPr="00622B02">
        <w:rPr>
          <w:i/>
          <w:iCs/>
          <w:sz w:val="24"/>
          <w:szCs w:val="24"/>
        </w:rPr>
        <w:t>Acesso em: 4 maio 2026.</w:t>
      </w:r>
    </w:p>
    <w:p w14:paraId="3F99D565"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lastRenderedPageBreak/>
        <w:t xml:space="preserve">MATHIOUDAKIS, A. G. et al. Rethinking blood eosinophils for assessing inhaled corticosteroids response in COPD: a post hoc analysis from the FLAME Trial. </w:t>
      </w:r>
      <w:r w:rsidRPr="00622B02">
        <w:rPr>
          <w:b/>
          <w:bCs/>
          <w:i/>
          <w:iCs/>
          <w:sz w:val="24"/>
          <w:szCs w:val="24"/>
        </w:rPr>
        <w:t>Chest</w:t>
      </w:r>
      <w:r w:rsidRPr="00622B02">
        <w:rPr>
          <w:i/>
          <w:iCs/>
          <w:sz w:val="24"/>
          <w:szCs w:val="24"/>
        </w:rPr>
        <w:t xml:space="preserve">, v. 166, n. 5, p. 987-997, 2024. Disponível em: </w:t>
      </w:r>
      <w:hyperlink r:id="rId18">
        <w:r w:rsidRPr="00622B02">
          <w:rPr>
            <w:i/>
            <w:iCs/>
            <w:color w:val="1155CC"/>
            <w:sz w:val="24"/>
            <w:szCs w:val="24"/>
            <w:u w:val="single"/>
          </w:rPr>
          <w:t>https://doi.org/10.1016/j.chest.2024.06.3790</w:t>
        </w:r>
      </w:hyperlink>
      <w:r w:rsidRPr="00622B02">
        <w:rPr>
          <w:i/>
          <w:iCs/>
          <w:sz w:val="24"/>
          <w:szCs w:val="24"/>
        </w:rPr>
        <w:t>. Acesso em: 30 maio 2026.</w:t>
      </w:r>
    </w:p>
    <w:p w14:paraId="3F99D566"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MIRAVITLLES, M. et al. Blood eosinophil counts and their variability and risk of exacerbations in COPD: a population-based study. </w:t>
      </w:r>
      <w:r w:rsidRPr="00622B02">
        <w:rPr>
          <w:b/>
          <w:bCs/>
          <w:i/>
          <w:iCs/>
          <w:sz w:val="24"/>
          <w:szCs w:val="24"/>
        </w:rPr>
        <w:t>Archivos de Bronconeumología</w:t>
      </w:r>
      <w:r w:rsidRPr="00622B02">
        <w:rPr>
          <w:i/>
          <w:iCs/>
          <w:sz w:val="24"/>
          <w:szCs w:val="24"/>
        </w:rPr>
        <w:t xml:space="preserve">, v. 57, n. 1, p. 13-20, 2021. Disponível em: </w:t>
      </w:r>
      <w:hyperlink r:id="rId19">
        <w:r w:rsidRPr="00622B02">
          <w:rPr>
            <w:i/>
            <w:iCs/>
            <w:color w:val="1155CC"/>
            <w:sz w:val="24"/>
            <w:szCs w:val="24"/>
            <w:u w:val="single"/>
          </w:rPr>
          <w:t>https://doi.org/10.1016/j.arbres.2019.12.015</w:t>
        </w:r>
      </w:hyperlink>
      <w:r w:rsidRPr="00622B02">
        <w:rPr>
          <w:i/>
          <w:iCs/>
          <w:sz w:val="24"/>
          <w:szCs w:val="24"/>
        </w:rPr>
        <w:t>. Acesso em: 6 maio 2026.</w:t>
      </w:r>
    </w:p>
    <w:p w14:paraId="3F99D567"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PAGE, Matthew J. et al. The PRISMA 2020 statement: an updated guideline for reporting systematic reviews. </w:t>
      </w:r>
      <w:r w:rsidRPr="00622B02">
        <w:rPr>
          <w:b/>
          <w:bCs/>
          <w:i/>
          <w:iCs/>
          <w:sz w:val="24"/>
          <w:szCs w:val="24"/>
        </w:rPr>
        <w:t>Systematic Reviews</w:t>
      </w:r>
      <w:r w:rsidRPr="00622B02">
        <w:rPr>
          <w:i/>
          <w:iCs/>
          <w:sz w:val="24"/>
          <w:szCs w:val="24"/>
        </w:rPr>
        <w:t xml:space="preserve">, v. 10, n. 1, p. 1-11, 2021. Disponível em: </w:t>
      </w:r>
      <w:hyperlink r:id="rId20">
        <w:r w:rsidRPr="00622B02">
          <w:rPr>
            <w:i/>
            <w:iCs/>
            <w:color w:val="1155CC"/>
            <w:sz w:val="24"/>
            <w:szCs w:val="24"/>
            <w:u w:val="single"/>
          </w:rPr>
          <w:t>https://doi.org/10.1186/s13643-021-01626-4</w:t>
        </w:r>
      </w:hyperlink>
      <w:r w:rsidRPr="00622B02">
        <w:rPr>
          <w:i/>
          <w:iCs/>
          <w:sz w:val="24"/>
          <w:szCs w:val="24"/>
        </w:rPr>
        <w:t>. Acesso em: 13 jul. 2026.</w:t>
      </w:r>
    </w:p>
    <w:p w14:paraId="3F99D568" w14:textId="77777777" w:rsidR="00AC300C" w:rsidRPr="00622B02" w:rsidRDefault="001E150A" w:rsidP="00622B02">
      <w:pPr>
        <w:numPr>
          <w:ilvl w:val="0"/>
          <w:numId w:val="3"/>
        </w:numPr>
        <w:spacing w:line="360" w:lineRule="auto"/>
        <w:jc w:val="both"/>
        <w:rPr>
          <w:i/>
          <w:iCs/>
          <w:sz w:val="24"/>
          <w:szCs w:val="24"/>
        </w:rPr>
      </w:pPr>
      <w:r w:rsidRPr="00622B02">
        <w:rPr>
          <w:i/>
          <w:iCs/>
          <w:sz w:val="24"/>
          <w:szCs w:val="24"/>
          <w:lang w:val="en-US"/>
        </w:rPr>
        <w:t xml:space="preserve">PRUDENTE, R. et al. Peripheral blood eosinophils and nine years mortality in COPD patients. </w:t>
      </w:r>
      <w:r w:rsidRPr="00622B02">
        <w:rPr>
          <w:b/>
          <w:bCs/>
          <w:i/>
          <w:iCs/>
          <w:sz w:val="24"/>
          <w:szCs w:val="24"/>
          <w:lang w:val="en-US"/>
        </w:rPr>
        <w:t>International Journal of Chronic Obstructive Pulmonary Disease</w:t>
      </w:r>
      <w:r w:rsidRPr="00622B02">
        <w:rPr>
          <w:i/>
          <w:iCs/>
          <w:sz w:val="24"/>
          <w:szCs w:val="24"/>
          <w:lang w:val="en-US"/>
        </w:rPr>
        <w:t xml:space="preserve">, v. 16, p. 979-985, 2021. Disponível em: </w:t>
      </w:r>
      <w:hyperlink r:id="rId21">
        <w:r w:rsidRPr="00622B02">
          <w:rPr>
            <w:i/>
            <w:iCs/>
            <w:color w:val="1155CC"/>
            <w:sz w:val="24"/>
            <w:szCs w:val="24"/>
            <w:u w:val="single"/>
            <w:lang w:val="en-US"/>
          </w:rPr>
          <w:t>https://doi.org/10.2147/COPD.S265275</w:t>
        </w:r>
      </w:hyperlink>
      <w:r w:rsidRPr="00622B02">
        <w:rPr>
          <w:i/>
          <w:iCs/>
          <w:sz w:val="24"/>
          <w:szCs w:val="24"/>
          <w:lang w:val="en-US"/>
        </w:rPr>
        <w:t xml:space="preserve">. </w:t>
      </w:r>
      <w:r w:rsidRPr="00622B02">
        <w:rPr>
          <w:i/>
          <w:iCs/>
          <w:sz w:val="24"/>
          <w:szCs w:val="24"/>
        </w:rPr>
        <w:t>Acesso em: 30 maio 2026.</w:t>
      </w:r>
    </w:p>
    <w:p w14:paraId="3F99D569" w14:textId="77777777" w:rsidR="00AC300C" w:rsidRPr="00622B02" w:rsidRDefault="001E150A" w:rsidP="00622B02">
      <w:pPr>
        <w:numPr>
          <w:ilvl w:val="0"/>
          <w:numId w:val="3"/>
        </w:numPr>
        <w:spacing w:after="240" w:line="360" w:lineRule="auto"/>
        <w:jc w:val="both"/>
        <w:rPr>
          <w:i/>
          <w:iCs/>
          <w:sz w:val="24"/>
          <w:szCs w:val="24"/>
        </w:rPr>
      </w:pPr>
      <w:r w:rsidRPr="00622B02">
        <w:rPr>
          <w:i/>
          <w:iCs/>
          <w:sz w:val="24"/>
          <w:szCs w:val="24"/>
          <w:lang w:val="en-US"/>
        </w:rPr>
        <w:t xml:space="preserve">RABAHI, M.; PAVORD, I. D. Drug evaluation: mepolizumab in chronic obstructive pulmonary disease. </w:t>
      </w:r>
      <w:r w:rsidRPr="00622B02">
        <w:rPr>
          <w:b/>
          <w:bCs/>
          <w:i/>
          <w:iCs/>
          <w:sz w:val="24"/>
          <w:szCs w:val="24"/>
        </w:rPr>
        <w:t>Immunotherapy</w:t>
      </w:r>
      <w:r w:rsidRPr="00622B02">
        <w:rPr>
          <w:i/>
          <w:iCs/>
          <w:sz w:val="24"/>
          <w:szCs w:val="24"/>
        </w:rPr>
        <w:t xml:space="preserve">, v. 17, n. 6, p. 399-408, 2025. Disponível em: </w:t>
      </w:r>
      <w:hyperlink r:id="rId22">
        <w:r w:rsidRPr="00622B02">
          <w:rPr>
            <w:i/>
            <w:iCs/>
            <w:color w:val="1155CC"/>
            <w:sz w:val="24"/>
            <w:szCs w:val="24"/>
            <w:u w:val="single"/>
          </w:rPr>
          <w:t>https://doi.org/10.1080/1750743X.2025.2504326</w:t>
        </w:r>
      </w:hyperlink>
      <w:r w:rsidRPr="00622B02">
        <w:rPr>
          <w:i/>
          <w:iCs/>
          <w:sz w:val="24"/>
          <w:szCs w:val="24"/>
        </w:rPr>
        <w:t>. Acesso em: 30 maio 2026.</w:t>
      </w:r>
    </w:p>
    <w:sectPr w:rsidR="00AC300C" w:rsidRPr="00622B02">
      <w:headerReference w:type="default" r:id="rId23"/>
      <w:footerReference w:type="default" r:id="rId2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6294" w14:textId="77777777" w:rsidR="001E150A" w:rsidRDefault="001E150A">
      <w:pPr>
        <w:spacing w:line="240" w:lineRule="auto"/>
      </w:pPr>
      <w:r>
        <w:separator/>
      </w:r>
    </w:p>
  </w:endnote>
  <w:endnote w:type="continuationSeparator" w:id="0">
    <w:p w14:paraId="276167C3" w14:textId="77777777" w:rsidR="001E150A" w:rsidRDefault="001E15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1" w:fontKey="{F1839154-F3FE-4F29-BBEB-79C0D8536832}"/>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0C082691-4178-4ABB-B71C-6109C0311279}"/>
  </w:font>
  <w:font w:name="Cambria">
    <w:panose1 w:val="02040503050406030204"/>
    <w:charset w:val="00"/>
    <w:family w:val="roman"/>
    <w:pitch w:val="variable"/>
    <w:sig w:usb0="E00006FF" w:usb1="420024FF" w:usb2="02000000" w:usb3="00000000" w:csb0="0000019F" w:csb1="00000000"/>
    <w:embedRegular r:id="rId3" w:fontKey="{755FCF07-6800-49A1-AFEF-5593968F46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D56D" w14:textId="77777777" w:rsidR="00AC300C" w:rsidRDefault="00AC30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599B3" w14:textId="77777777" w:rsidR="001E150A" w:rsidRDefault="001E150A">
      <w:pPr>
        <w:spacing w:line="240" w:lineRule="auto"/>
      </w:pPr>
      <w:r>
        <w:separator/>
      </w:r>
    </w:p>
  </w:footnote>
  <w:footnote w:type="continuationSeparator" w:id="0">
    <w:p w14:paraId="200A14BF" w14:textId="77777777" w:rsidR="001E150A" w:rsidRDefault="001E15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D56C" w14:textId="77777777" w:rsidR="00AC300C" w:rsidRDefault="00AC30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299"/>
    <w:multiLevelType w:val="multilevel"/>
    <w:tmpl w:val="31BEB0A0"/>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0A24127"/>
    <w:multiLevelType w:val="multilevel"/>
    <w:tmpl w:val="866E8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38049A3"/>
    <w:multiLevelType w:val="multilevel"/>
    <w:tmpl w:val="59FEDDB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504935423">
    <w:abstractNumId w:val="0"/>
  </w:num>
  <w:num w:numId="2" w16cid:durableId="849416300">
    <w:abstractNumId w:val="2"/>
  </w:num>
  <w:num w:numId="3" w16cid:durableId="567108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00C"/>
    <w:rsid w:val="001E150A"/>
    <w:rsid w:val="00622B02"/>
    <w:rsid w:val="007F1749"/>
    <w:rsid w:val="00AC300C"/>
    <w:rsid w:val="00AE0B61"/>
    <w:rsid w:val="00EA0B59"/>
    <w:rsid w:val="00F0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9D50E"/>
  <w15:docId w15:val="{E336B550-FA6D-49FC-95BD-921A93E3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oogle.com/search?q=https://doi.org/10.36416/1806-3756/e20220183" TargetMode="External"/><Relationship Id="rId18" Type="http://schemas.openxmlformats.org/officeDocument/2006/relationships/hyperlink" Target="https://www.google.com/search?q=https://doi.org/10.1016/j.chest.2024.06.379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oogle.com/search?q=https://doi.org/10.2147/COPD.S265275" TargetMode="External"/><Relationship Id="rId7" Type="http://schemas.openxmlformats.org/officeDocument/2006/relationships/hyperlink" Target="mailto:rafaelamoreiradias35@gmail.com" TargetMode="External"/><Relationship Id="rId12" Type="http://schemas.openxmlformats.org/officeDocument/2006/relationships/hyperlink" Target="https://www.google.com/search?q=https://doi.org/10.1136/thorax-2022-219463" TargetMode="External"/><Relationship Id="rId17" Type="http://schemas.openxmlformats.org/officeDocument/2006/relationships/hyperlink" Target="https://doi.org/10.1080/1744666x.2025.252226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vistasam.com.ar/index.php/RAM/issue/view/46" TargetMode="External"/><Relationship Id="rId20" Type="http://schemas.openxmlformats.org/officeDocument/2006/relationships/hyperlink" Target="https://doi.org/10.1186/s13643-021-01626-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https://doi.org/10.1136/thoraxjnl-2020-21516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goldcopd.org" TargetMode="External"/><Relationship Id="rId23" Type="http://schemas.openxmlformats.org/officeDocument/2006/relationships/header" Target="header1.xml"/><Relationship Id="rId10" Type="http://schemas.openxmlformats.org/officeDocument/2006/relationships/hyperlink" Target="https://www.google.com/search?q=https://doi.org/10.1186/s12890-025-04063-4" TargetMode="External"/><Relationship Id="rId19" Type="http://schemas.openxmlformats.org/officeDocument/2006/relationships/hyperlink" Target="https://www.google.com/search?q=https://doi.org/10.1016/j.arbres.2019.12.015" TargetMode="External"/><Relationship Id="rId4" Type="http://schemas.openxmlformats.org/officeDocument/2006/relationships/webSettings" Target="webSettings.xml"/><Relationship Id="rId9" Type="http://schemas.openxmlformats.org/officeDocument/2006/relationships/hyperlink" Target="https://www.google.com/search?q=https://doi.org/10.1159/000533250" TargetMode="External"/><Relationship Id="rId14" Type="http://schemas.openxmlformats.org/officeDocument/2006/relationships/hyperlink" Target="https://goldcopd.org" TargetMode="External"/><Relationship Id="rId22" Type="http://schemas.openxmlformats.org/officeDocument/2006/relationships/hyperlink" Target="https://www.google.com/search?q=https://doi.org/10.1080/1750743X.2025.250432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2907</Words>
  <Characters>16572</Characters>
  <Application>Microsoft Office Word</Application>
  <DocSecurity>0</DocSecurity>
  <Lines>138</Lines>
  <Paragraphs>38</Paragraphs>
  <ScaleCrop>false</ScaleCrop>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Marcela Mesquita</cp:lastModifiedBy>
  <cp:revision>5</cp:revision>
  <dcterms:created xsi:type="dcterms:W3CDTF">2026-09-03T22:00:00Z</dcterms:created>
  <dcterms:modified xsi:type="dcterms:W3CDTF">2026-09-03T22:04:00Z</dcterms:modified>
</cp:coreProperties>
</file>